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5" w:rsidRDefault="00396FD5" w:rsidP="00396FD5">
      <w:pPr>
        <w:jc w:val="center"/>
        <w:rPr>
          <w:sz w:val="36"/>
          <w:szCs w:val="36"/>
        </w:rPr>
      </w:pPr>
      <w:r>
        <w:rPr>
          <w:sz w:val="36"/>
          <w:szCs w:val="36"/>
        </w:rPr>
        <w:t>ОГБУ «ЦЕНТР УСЛОВИЙ И ОХРАНЫ ТРУДА»</w:t>
      </w:r>
    </w:p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Default="00396FD5" w:rsidP="00396FD5"/>
    <w:p w:rsidR="00396FD5" w:rsidRPr="00A119CA" w:rsidRDefault="00396FD5" w:rsidP="00396FD5">
      <w:pPr>
        <w:jc w:val="center"/>
        <w:rPr>
          <w:b/>
          <w:sz w:val="52"/>
          <w:szCs w:val="52"/>
        </w:rPr>
      </w:pPr>
      <w:r w:rsidRPr="00A119CA">
        <w:rPr>
          <w:b/>
          <w:sz w:val="52"/>
          <w:szCs w:val="52"/>
        </w:rPr>
        <w:t>ОТЧЕТ</w:t>
      </w:r>
      <w:r>
        <w:rPr>
          <w:b/>
          <w:sz w:val="52"/>
          <w:szCs w:val="52"/>
        </w:rPr>
        <w:t xml:space="preserve"> </w:t>
      </w:r>
    </w:p>
    <w:p w:rsidR="00396FD5" w:rsidRPr="009A5C42" w:rsidRDefault="00396FD5" w:rsidP="00396FD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предоставлению государственной услуги </w:t>
      </w:r>
      <w:r w:rsidRPr="009A5C42">
        <w:rPr>
          <w:spacing w:val="2"/>
          <w:sz w:val="52"/>
          <w:szCs w:val="52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9A5C42">
        <w:rPr>
          <w:bCs/>
          <w:sz w:val="52"/>
          <w:szCs w:val="52"/>
        </w:rPr>
        <w:t>»</w:t>
      </w:r>
    </w:p>
    <w:p w:rsidR="00396FD5" w:rsidRDefault="00396FD5" w:rsidP="00396FD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</w:t>
      </w:r>
      <w:r w:rsidR="00E551C2">
        <w:rPr>
          <w:sz w:val="52"/>
          <w:szCs w:val="52"/>
        </w:rPr>
        <w:t>3</w:t>
      </w:r>
      <w:r>
        <w:rPr>
          <w:sz w:val="52"/>
          <w:szCs w:val="52"/>
        </w:rPr>
        <w:t xml:space="preserve"> квартале 2017 года</w:t>
      </w:r>
    </w:p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p w:rsidR="00396FD5" w:rsidRDefault="00396FD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4006"/>
        <w:gridCol w:w="2942"/>
      </w:tblGrid>
      <w:tr w:rsidR="00E551C2" w:rsidTr="00CE0D68">
        <w:trPr>
          <w:trHeight w:val="1124"/>
        </w:trPr>
        <w:tc>
          <w:tcPr>
            <w:tcW w:w="3473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551C2" w:rsidRPr="00FF32B1" w:rsidRDefault="00E551C2" w:rsidP="00CE0D6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FF32B1">
              <w:rPr>
                <w:sz w:val="20"/>
                <w:szCs w:val="20"/>
              </w:rPr>
              <w:t>УТВЕРЖДЕНА</w:t>
            </w:r>
          </w:p>
          <w:p w:rsidR="00E551C2" w:rsidRPr="00FF32B1" w:rsidRDefault="00E551C2" w:rsidP="00CE0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Приказом управления по труду</w:t>
            </w:r>
          </w:p>
          <w:p w:rsidR="00E551C2" w:rsidRPr="00FF32B1" w:rsidRDefault="00E551C2" w:rsidP="00CE0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правительства Еврейской</w:t>
            </w:r>
          </w:p>
          <w:p w:rsidR="00E551C2" w:rsidRPr="00FF32B1" w:rsidRDefault="00E551C2" w:rsidP="00CE0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автономной области</w:t>
            </w:r>
          </w:p>
          <w:p w:rsidR="00E551C2" w:rsidRDefault="00E551C2" w:rsidP="00CE0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4</w:t>
            </w:r>
            <w:r w:rsidRPr="00FF32B1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7</w:t>
            </w:r>
            <w:r w:rsidRPr="00FF32B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</w:t>
            </w:r>
            <w:r w:rsidRPr="00FF32B1">
              <w:rPr>
                <w:sz w:val="20"/>
                <w:szCs w:val="20"/>
              </w:rPr>
              <w:t>-ОД</w:t>
            </w:r>
          </w:p>
        </w:tc>
      </w:tr>
    </w:tbl>
    <w:p w:rsidR="00E551C2" w:rsidRDefault="00E551C2" w:rsidP="00E551C2">
      <w:pPr>
        <w:autoSpaceDE w:val="0"/>
        <w:autoSpaceDN w:val="0"/>
        <w:adjustRightInd w:val="0"/>
        <w:ind w:firstLine="5400"/>
        <w:outlineLvl w:val="0"/>
        <w:rPr>
          <w:sz w:val="20"/>
          <w:szCs w:val="20"/>
        </w:rPr>
      </w:pPr>
    </w:p>
    <w:p w:rsidR="00E551C2" w:rsidRDefault="00E551C2" w:rsidP="00E551C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E551C2" w:rsidRDefault="00E551C2" w:rsidP="00E551C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по </w:t>
      </w:r>
      <w:r>
        <w:rPr>
          <w:sz w:val="28"/>
          <w:szCs w:val="28"/>
        </w:rPr>
        <w:t>проведению работы</w:t>
      </w:r>
    </w:p>
    <w:p w:rsidR="00E551C2" w:rsidRDefault="00E551C2" w:rsidP="00E551C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«</w:t>
      </w:r>
      <w:r w:rsidRPr="00654CC7">
        <w:rPr>
          <w:spacing w:val="2"/>
          <w:sz w:val="28"/>
          <w:szCs w:val="28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654CC7">
        <w:rPr>
          <w:bCs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"/>
        <w:gridCol w:w="1030"/>
        <w:gridCol w:w="1030"/>
        <w:gridCol w:w="704"/>
        <w:gridCol w:w="1358"/>
        <w:gridCol w:w="1135"/>
        <w:gridCol w:w="776"/>
        <w:gridCol w:w="1299"/>
        <w:gridCol w:w="1029"/>
        <w:gridCol w:w="1030"/>
      </w:tblGrid>
      <w:tr w:rsidR="00E551C2" w:rsidTr="00CE0D68">
        <w:tc>
          <w:tcPr>
            <w:tcW w:w="1030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E551C2" w:rsidRPr="0045780C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35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776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299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029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551C2" w:rsidRDefault="00E551C2" w:rsidP="00E551C2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134"/>
        <w:gridCol w:w="1276"/>
        <w:gridCol w:w="1134"/>
        <w:gridCol w:w="1559"/>
      </w:tblGrid>
      <w:tr w:rsidR="00E551C2" w:rsidRPr="00EC2A72" w:rsidTr="00CE0D68">
        <w:trPr>
          <w:trHeight w:val="355"/>
        </w:trPr>
        <w:tc>
          <w:tcPr>
            <w:tcW w:w="5245" w:type="dxa"/>
            <w:vMerge w:val="restart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A72"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5103" w:type="dxa"/>
            <w:gridSpan w:val="4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Количественный уровень</w:t>
            </w:r>
          </w:p>
        </w:tc>
      </w:tr>
      <w:tr w:rsidR="00E551C2" w:rsidRPr="00EC2A72" w:rsidTr="00CE0D68">
        <w:tc>
          <w:tcPr>
            <w:tcW w:w="5245" w:type="dxa"/>
            <w:vMerge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план на квартал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факт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план на год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факт</w:t>
            </w:r>
          </w:p>
        </w:tc>
      </w:tr>
      <w:tr w:rsidR="00E551C2" w:rsidRPr="00EC2A72" w:rsidTr="00CE0D68">
        <w:trPr>
          <w:cantSplit/>
          <w:trHeight w:val="555"/>
        </w:trPr>
        <w:tc>
          <w:tcPr>
            <w:tcW w:w="5245" w:type="dxa"/>
          </w:tcPr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подготовленных документов по </w:t>
            </w:r>
            <w:proofErr w:type="spellStart"/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трудоохранной</w:t>
            </w:r>
            <w:proofErr w:type="spellEnd"/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225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218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900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776</w:t>
            </w:r>
          </w:p>
        </w:tc>
      </w:tr>
      <w:tr w:rsidR="00E551C2" w:rsidRPr="00EC2A72" w:rsidTr="00CE0D68">
        <w:trPr>
          <w:cantSplit/>
          <w:trHeight w:val="563"/>
        </w:trPr>
        <w:tc>
          <w:tcPr>
            <w:tcW w:w="5245" w:type="dxa"/>
          </w:tcPr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Количество осмотренных рабочих мест на состояние и исправность оборудования, инструмента.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135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134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540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498</w:t>
            </w:r>
          </w:p>
        </w:tc>
      </w:tr>
      <w:tr w:rsidR="00E551C2" w:rsidRPr="00EC2A72" w:rsidTr="00CE0D68">
        <w:trPr>
          <w:cantSplit/>
          <w:trHeight w:val="543"/>
        </w:trPr>
        <w:tc>
          <w:tcPr>
            <w:tcW w:w="5245" w:type="dxa"/>
          </w:tcPr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Количество подготовленных уголков по охране труда, стендов, информации для стенда.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18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23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72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76</w:t>
            </w:r>
          </w:p>
        </w:tc>
      </w:tr>
      <w:tr w:rsidR="00E551C2" w:rsidRPr="00EC2A72" w:rsidTr="00CE0D68">
        <w:trPr>
          <w:cantSplit/>
          <w:trHeight w:val="1350"/>
        </w:trPr>
        <w:tc>
          <w:tcPr>
            <w:tcW w:w="5245" w:type="dxa"/>
          </w:tcPr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Количество проведенных/получивших:</w:t>
            </w:r>
          </w:p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- инструктажей по охране труда;</w:t>
            </w:r>
          </w:p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 xml:space="preserve">- обучения по </w:t>
            </w:r>
            <w:proofErr w:type="spellStart"/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электробезопасности</w:t>
            </w:r>
            <w:proofErr w:type="spellEnd"/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работников с присвоением 1 группы;</w:t>
            </w:r>
          </w:p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- обучение работников рабочих профессий;</w:t>
            </w:r>
          </w:p>
          <w:p w:rsidR="00E551C2" w:rsidRPr="00EC2A72" w:rsidRDefault="00E551C2" w:rsidP="00CE0D68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A72">
              <w:rPr>
                <w:rFonts w:ascii="Times New Roman" w:hAnsi="Times New Roman"/>
                <w:iCs/>
                <w:sz w:val="24"/>
                <w:szCs w:val="24"/>
              </w:rPr>
              <w:t>- обучение по охране труда руководителей и специалистов.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36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9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27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9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36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4 (49 чел.)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 (8 чел.)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4 (49 чел.)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144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36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108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36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108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12 (205 чел.)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9 (59 чел.)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12 (144 чел.)</w:t>
            </w:r>
          </w:p>
        </w:tc>
      </w:tr>
      <w:tr w:rsidR="00E551C2" w:rsidRPr="00EC2A72" w:rsidTr="00CE0D68">
        <w:trPr>
          <w:cantSplit/>
        </w:trPr>
        <w:tc>
          <w:tcPr>
            <w:tcW w:w="5245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2A72">
              <w:rPr>
                <w:bCs/>
              </w:rPr>
              <w:t>Количество подготовленных и проведенных итоговых совещаний с организациями на базе предприятия.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4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5</w:t>
            </w:r>
          </w:p>
        </w:tc>
      </w:tr>
      <w:tr w:rsidR="00E551C2" w:rsidRPr="00EC2A72" w:rsidTr="00CE0D68">
        <w:trPr>
          <w:cantSplit/>
          <w:trHeight w:val="1447"/>
        </w:trPr>
        <w:tc>
          <w:tcPr>
            <w:tcW w:w="5245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2A72">
              <w:rPr>
                <w:bCs/>
              </w:rPr>
              <w:t>Количество дополнительных выходов на предприятие в целях: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</w:pPr>
            <w:r w:rsidRPr="00EC2A72">
              <w:rPr>
                <w:bCs/>
              </w:rPr>
              <w:t>-</w:t>
            </w:r>
            <w:r w:rsidRPr="00EC2A72">
              <w:t xml:space="preserve"> участие в днях охраны труда в организации;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C2A72">
              <w:t xml:space="preserve">- участие в </w:t>
            </w:r>
            <w:r w:rsidRPr="00EC2A72">
              <w:rPr>
                <w:iCs/>
              </w:rPr>
              <w:t xml:space="preserve">расследовании несчастных случаев на производстве; 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C2A72">
              <w:rPr>
                <w:iCs/>
              </w:rPr>
              <w:t xml:space="preserve">- разработки раздела «Условий и охраны труда» </w:t>
            </w:r>
            <w:proofErr w:type="spellStart"/>
            <w:r w:rsidRPr="00EC2A72">
              <w:rPr>
                <w:iCs/>
              </w:rPr>
              <w:t>колдоговора</w:t>
            </w:r>
            <w:proofErr w:type="spellEnd"/>
            <w:r w:rsidRPr="00EC2A72">
              <w:rPr>
                <w:iCs/>
              </w:rPr>
              <w:t>;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2A72">
              <w:rPr>
                <w:iCs/>
              </w:rPr>
              <w:t>- п</w:t>
            </w:r>
            <w:r w:rsidRPr="00EC2A72">
              <w:t>роведение совещаний в  организации по завершению работ.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-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-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9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-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6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8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12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-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-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35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8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-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16</w:t>
            </w: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27</w:t>
            </w:r>
          </w:p>
        </w:tc>
      </w:tr>
      <w:tr w:rsidR="00E551C2" w:rsidRPr="00EC2A72" w:rsidTr="00CE0D68">
        <w:trPr>
          <w:cantSplit/>
          <w:trHeight w:val="375"/>
        </w:trPr>
        <w:tc>
          <w:tcPr>
            <w:tcW w:w="5245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2A72">
              <w:rPr>
                <w:bCs/>
              </w:rPr>
              <w:t>Количество организаций получивших услугу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9</w:t>
            </w:r>
          </w:p>
        </w:tc>
        <w:tc>
          <w:tcPr>
            <w:tcW w:w="1276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8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35</w:t>
            </w:r>
          </w:p>
        </w:tc>
        <w:tc>
          <w:tcPr>
            <w:tcW w:w="1559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A72">
              <w:rPr>
                <w:bCs/>
              </w:rPr>
              <w:t>27</w:t>
            </w:r>
          </w:p>
        </w:tc>
      </w:tr>
      <w:tr w:rsidR="00E551C2" w:rsidRPr="0092537C" w:rsidTr="00CE0D68">
        <w:trPr>
          <w:cantSplit/>
          <w:trHeight w:val="302"/>
        </w:trPr>
        <w:tc>
          <w:tcPr>
            <w:tcW w:w="5245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EC2A72">
              <w:t xml:space="preserve">Обеспечение требований к качеству услуг, (в %)         </w:t>
            </w:r>
          </w:p>
        </w:tc>
        <w:tc>
          <w:tcPr>
            <w:tcW w:w="1134" w:type="dxa"/>
          </w:tcPr>
          <w:p w:rsidR="00E551C2" w:rsidRPr="00EC2A72" w:rsidRDefault="00E551C2" w:rsidP="00CE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551C2" w:rsidRPr="00A1073C" w:rsidRDefault="00E551C2" w:rsidP="00CE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EC2A72">
              <w:rPr>
                <w:bCs/>
              </w:rPr>
              <w:t>100</w:t>
            </w:r>
          </w:p>
        </w:tc>
        <w:tc>
          <w:tcPr>
            <w:tcW w:w="1134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551C2" w:rsidRDefault="00E551C2" w:rsidP="00CE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</w:tr>
    </w:tbl>
    <w:p w:rsidR="00E551C2" w:rsidRDefault="00E551C2" w:rsidP="00E551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51C2" w:rsidRPr="00F0575D" w:rsidRDefault="00E551C2" w:rsidP="00E551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E551C2" w:rsidRDefault="00E551C2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E551C2" w:rsidRDefault="00E551C2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E551C2" w:rsidRDefault="00E551C2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E551C2" w:rsidRDefault="00E551C2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E551C2" w:rsidRDefault="00E551C2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</w:p>
    <w:p w:rsidR="00E551C2" w:rsidRPr="00B11802" w:rsidRDefault="00E551C2" w:rsidP="00E551C2">
      <w:pPr>
        <w:jc w:val="center"/>
        <w:rPr>
          <w:sz w:val="27"/>
          <w:szCs w:val="27"/>
        </w:rPr>
      </w:pPr>
      <w:r w:rsidRPr="00B11802">
        <w:rPr>
          <w:sz w:val="27"/>
          <w:szCs w:val="27"/>
        </w:rPr>
        <w:lastRenderedPageBreak/>
        <w:t>ПОЯСНИТЕЛЬНАЯ ЗАПИСКА</w:t>
      </w:r>
    </w:p>
    <w:p w:rsidR="00E551C2" w:rsidRPr="00B11802" w:rsidRDefault="00E551C2" w:rsidP="00E551C2">
      <w:pPr>
        <w:rPr>
          <w:sz w:val="27"/>
          <w:szCs w:val="27"/>
        </w:rPr>
      </w:pP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Областным государственным бюджетным учреждением «Центр условий и охраны труда» (далее ОГБУ «Центр условий и охраны труда» или «Центр») в рамках выполнения государственного задания на выполнение работы по оказанию государственной услуги </w:t>
      </w:r>
      <w:r w:rsidRPr="00B11802">
        <w:rPr>
          <w:spacing w:val="2"/>
          <w:sz w:val="27"/>
          <w:szCs w:val="27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B11802">
        <w:rPr>
          <w:bCs/>
          <w:sz w:val="27"/>
          <w:szCs w:val="27"/>
        </w:rPr>
        <w:t xml:space="preserve">» </w:t>
      </w:r>
      <w:r w:rsidRPr="00B11802">
        <w:rPr>
          <w:sz w:val="27"/>
          <w:szCs w:val="27"/>
        </w:rPr>
        <w:t>проводилась работа в соответствии с государственным заданием, утвержденным приказом управления по труду правительства ЕАО от 24.01.2017 № 7-ОД и государственной программой, утвержденной постановлением правительства ЕАО от 30.09.2013 № 494-пп (ред. от 19.12.2016) «О государственной программе Еврейской автономной области «Содействие занятости населения и обеспечение безопасности труда» на 2014 – 2020 годы».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В 3 квартале 2017 года данная услуга была предоставлена 8 областным и муниципальным учреждениям (согласно списку, утвержденному управлением по труду правительства области):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ОГБУ «</w:t>
      </w:r>
      <w:proofErr w:type="spellStart"/>
      <w:r w:rsidRPr="00B11802">
        <w:rPr>
          <w:sz w:val="27"/>
          <w:szCs w:val="27"/>
        </w:rPr>
        <w:t>Автодорпроектконтроль</w:t>
      </w:r>
      <w:proofErr w:type="spellEnd"/>
      <w:r w:rsidRPr="00B11802">
        <w:rPr>
          <w:sz w:val="27"/>
          <w:szCs w:val="27"/>
        </w:rPr>
        <w:t>»,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МКОУ "Основная общеобразовательная школа села Желтый Яр",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- ОГКУ "Центр занятости населения </w:t>
      </w:r>
      <w:proofErr w:type="spellStart"/>
      <w:r w:rsidRPr="00B11802">
        <w:rPr>
          <w:sz w:val="27"/>
          <w:szCs w:val="27"/>
        </w:rPr>
        <w:t>Смидовичского</w:t>
      </w:r>
      <w:proofErr w:type="spellEnd"/>
      <w:r w:rsidRPr="00B11802">
        <w:rPr>
          <w:sz w:val="27"/>
          <w:szCs w:val="27"/>
        </w:rPr>
        <w:t xml:space="preserve"> района",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ОГБУ "</w:t>
      </w:r>
      <w:proofErr w:type="spellStart"/>
      <w:r w:rsidRPr="00B11802">
        <w:rPr>
          <w:sz w:val="27"/>
          <w:szCs w:val="27"/>
        </w:rPr>
        <w:t>Бираканский</w:t>
      </w:r>
      <w:proofErr w:type="spellEnd"/>
      <w:r w:rsidRPr="00B11802">
        <w:rPr>
          <w:sz w:val="27"/>
          <w:szCs w:val="27"/>
        </w:rPr>
        <w:t xml:space="preserve"> дом-интернат для престарелых и инвалидов",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ОГБУК "Областной краеведческий музей",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ОГАУ "</w:t>
      </w:r>
      <w:proofErr w:type="spellStart"/>
      <w:r w:rsidRPr="00B11802">
        <w:rPr>
          <w:sz w:val="27"/>
          <w:szCs w:val="27"/>
        </w:rPr>
        <w:t>Облученский</w:t>
      </w:r>
      <w:proofErr w:type="spellEnd"/>
      <w:r w:rsidRPr="00B11802">
        <w:rPr>
          <w:sz w:val="27"/>
          <w:szCs w:val="27"/>
        </w:rPr>
        <w:t xml:space="preserve"> противопожарный центр",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- ОГКУ "Центр занятости населения </w:t>
      </w:r>
      <w:proofErr w:type="spellStart"/>
      <w:r w:rsidRPr="00B11802">
        <w:rPr>
          <w:sz w:val="27"/>
          <w:szCs w:val="27"/>
        </w:rPr>
        <w:t>Облученского</w:t>
      </w:r>
      <w:proofErr w:type="spellEnd"/>
      <w:r w:rsidRPr="00B11802">
        <w:rPr>
          <w:sz w:val="27"/>
          <w:szCs w:val="27"/>
        </w:rPr>
        <w:t xml:space="preserve"> района",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- ОГБУ "Ветеринарная станция по борьбе с болезнями животных Биробиджанского района". 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sz w:val="27"/>
          <w:szCs w:val="27"/>
        </w:rPr>
        <w:t xml:space="preserve">При оказании </w:t>
      </w:r>
      <w:proofErr w:type="spellStart"/>
      <w:r w:rsidRPr="00B11802">
        <w:rPr>
          <w:sz w:val="27"/>
          <w:szCs w:val="27"/>
        </w:rPr>
        <w:t>госуслуги</w:t>
      </w:r>
      <w:proofErr w:type="spellEnd"/>
      <w:r w:rsidRPr="00B11802">
        <w:rPr>
          <w:sz w:val="27"/>
          <w:szCs w:val="27"/>
        </w:rPr>
        <w:t xml:space="preserve"> «</w:t>
      </w:r>
      <w:r w:rsidRPr="00B11802">
        <w:rPr>
          <w:spacing w:val="2"/>
          <w:sz w:val="27"/>
          <w:szCs w:val="27"/>
        </w:rPr>
        <w:t>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B11802">
        <w:rPr>
          <w:bCs/>
          <w:sz w:val="27"/>
          <w:szCs w:val="27"/>
        </w:rPr>
        <w:t>» была проведена следующая работа: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t>- проведен осмотр 134 рабочих мест на предмет соответствия безопасным условиям труда, исправности применяемого оборудования и инструментов, средств коллективной защиты (нарушений не выявлено);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t>- подготовлено 218 различных документов по охране труда: приказы, инструкции по охране труда, программы обучения, акты, протоколы и т.д.;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t>- оформлено 28 различных журналов (журналы регистрации инструктажей и др.);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t>- трем организациям (</w:t>
      </w:r>
      <w:r w:rsidRPr="00B11802">
        <w:rPr>
          <w:sz w:val="27"/>
          <w:szCs w:val="27"/>
        </w:rPr>
        <w:t>МКОУ "Основная общеобразовательная школа села Желтый Яр", ОГБУ "</w:t>
      </w:r>
      <w:proofErr w:type="spellStart"/>
      <w:r w:rsidRPr="00B11802">
        <w:rPr>
          <w:sz w:val="27"/>
          <w:szCs w:val="27"/>
        </w:rPr>
        <w:t>Бираканский</w:t>
      </w:r>
      <w:proofErr w:type="spellEnd"/>
      <w:r w:rsidRPr="00B11802">
        <w:rPr>
          <w:sz w:val="27"/>
          <w:szCs w:val="27"/>
        </w:rPr>
        <w:t xml:space="preserve"> дом-интернат для престарелых и инвалидов", ОГКУ "Центр занятости населения </w:t>
      </w:r>
      <w:proofErr w:type="spellStart"/>
      <w:r w:rsidRPr="00B11802">
        <w:rPr>
          <w:sz w:val="27"/>
          <w:szCs w:val="27"/>
        </w:rPr>
        <w:t>Облученского</w:t>
      </w:r>
      <w:proofErr w:type="spellEnd"/>
      <w:r w:rsidRPr="00B11802">
        <w:rPr>
          <w:sz w:val="27"/>
          <w:szCs w:val="27"/>
        </w:rPr>
        <w:t xml:space="preserve"> района") предоставлена в электронном виде различная информация и плакаты </w:t>
      </w:r>
      <w:r w:rsidRPr="00B11802">
        <w:rPr>
          <w:bCs/>
          <w:sz w:val="27"/>
          <w:szCs w:val="27"/>
        </w:rPr>
        <w:t xml:space="preserve">для оформления стендов и уголков охраны труда: о системе управления охраной труда в ЕАО, о различных видах инструктажей, о проведении «дней охраны труда», о безопасном выполнении различных работ и др. в количестве 23 шт.; 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t>- при оказании услуги во всех организациях осуществлялась проверка правильности и своевременности проведения инструктажей по охране труда (выборочная проверка осуществлена в отношении 36 работников);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t>- в 4 учреждениях (</w:t>
      </w:r>
      <w:r w:rsidRPr="00B11802">
        <w:rPr>
          <w:sz w:val="27"/>
          <w:szCs w:val="27"/>
        </w:rPr>
        <w:t xml:space="preserve">ОГКУ "Центр занятости населения </w:t>
      </w:r>
      <w:proofErr w:type="spellStart"/>
      <w:r w:rsidRPr="00B11802">
        <w:rPr>
          <w:sz w:val="27"/>
          <w:szCs w:val="27"/>
        </w:rPr>
        <w:t>Смидовичского</w:t>
      </w:r>
      <w:proofErr w:type="spellEnd"/>
      <w:r w:rsidRPr="00B11802">
        <w:rPr>
          <w:sz w:val="27"/>
          <w:szCs w:val="27"/>
        </w:rPr>
        <w:t xml:space="preserve"> района", ОГБУ «</w:t>
      </w:r>
      <w:proofErr w:type="spellStart"/>
      <w:r w:rsidRPr="00B11802">
        <w:rPr>
          <w:sz w:val="27"/>
          <w:szCs w:val="27"/>
        </w:rPr>
        <w:t>Автодорпроектконтроль</w:t>
      </w:r>
      <w:proofErr w:type="spellEnd"/>
      <w:r w:rsidRPr="00B11802">
        <w:rPr>
          <w:sz w:val="27"/>
          <w:szCs w:val="27"/>
        </w:rPr>
        <w:t xml:space="preserve">», ОГБУК "Областной краеведческий музей", ОГКУ "Центр занятости населения </w:t>
      </w:r>
      <w:proofErr w:type="spellStart"/>
      <w:r w:rsidRPr="00B11802">
        <w:rPr>
          <w:sz w:val="27"/>
          <w:szCs w:val="27"/>
        </w:rPr>
        <w:t>Облученского</w:t>
      </w:r>
      <w:proofErr w:type="spellEnd"/>
      <w:r w:rsidRPr="00B11802">
        <w:rPr>
          <w:sz w:val="27"/>
          <w:szCs w:val="27"/>
        </w:rPr>
        <w:t xml:space="preserve"> района") </w:t>
      </w:r>
      <w:r w:rsidRPr="00B11802">
        <w:rPr>
          <w:bCs/>
          <w:sz w:val="27"/>
          <w:szCs w:val="27"/>
        </w:rPr>
        <w:t xml:space="preserve">с работниками проведен инструктаж по </w:t>
      </w:r>
      <w:proofErr w:type="spellStart"/>
      <w:r w:rsidRPr="00B11802">
        <w:rPr>
          <w:bCs/>
          <w:sz w:val="27"/>
          <w:szCs w:val="27"/>
        </w:rPr>
        <w:t>электробезопасности</w:t>
      </w:r>
      <w:proofErr w:type="spellEnd"/>
      <w:r w:rsidRPr="00B11802">
        <w:rPr>
          <w:bCs/>
          <w:sz w:val="27"/>
          <w:szCs w:val="27"/>
        </w:rPr>
        <w:t xml:space="preserve"> с присвоением 1 группы по </w:t>
      </w:r>
      <w:proofErr w:type="spellStart"/>
      <w:r w:rsidRPr="00B11802">
        <w:rPr>
          <w:bCs/>
          <w:sz w:val="27"/>
          <w:szCs w:val="27"/>
        </w:rPr>
        <w:t>электробезопасности</w:t>
      </w:r>
      <w:proofErr w:type="spellEnd"/>
      <w:r w:rsidRPr="00B11802">
        <w:rPr>
          <w:bCs/>
          <w:sz w:val="27"/>
          <w:szCs w:val="27"/>
        </w:rPr>
        <w:t xml:space="preserve"> (проинструктировано 49 чел.), и организовано обучение приемам оказания первой помощи пострадавшим (обучено 49 чел.);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lastRenderedPageBreak/>
        <w:t>- в 3 учреждениях (</w:t>
      </w:r>
      <w:r w:rsidRPr="00B11802">
        <w:rPr>
          <w:sz w:val="27"/>
          <w:szCs w:val="27"/>
        </w:rPr>
        <w:t xml:space="preserve">ОГКУ "Центр занятости населения </w:t>
      </w:r>
      <w:proofErr w:type="spellStart"/>
      <w:r w:rsidRPr="00B11802">
        <w:rPr>
          <w:sz w:val="27"/>
          <w:szCs w:val="27"/>
        </w:rPr>
        <w:t>Смидовичского</w:t>
      </w:r>
      <w:proofErr w:type="spellEnd"/>
      <w:r w:rsidRPr="00B11802">
        <w:rPr>
          <w:sz w:val="27"/>
          <w:szCs w:val="27"/>
        </w:rPr>
        <w:t xml:space="preserve"> района", ОГБУК "Областной краеведческий музей", ОГКУ "Центр занятости населения </w:t>
      </w:r>
      <w:proofErr w:type="spellStart"/>
      <w:r w:rsidRPr="00B11802">
        <w:rPr>
          <w:sz w:val="27"/>
          <w:szCs w:val="27"/>
        </w:rPr>
        <w:t>Облученского</w:t>
      </w:r>
      <w:proofErr w:type="spellEnd"/>
      <w:r w:rsidRPr="00B11802">
        <w:rPr>
          <w:sz w:val="27"/>
          <w:szCs w:val="27"/>
        </w:rPr>
        <w:t xml:space="preserve"> района") </w:t>
      </w:r>
      <w:r w:rsidRPr="00B11802">
        <w:rPr>
          <w:bCs/>
          <w:sz w:val="27"/>
          <w:szCs w:val="27"/>
        </w:rPr>
        <w:t>организовано проведение обучения по охране труда руководителей и специалистов (обучено 8 чел.), а также работников рабочих профессий (обучено 49 чел.);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sz w:val="27"/>
          <w:szCs w:val="27"/>
        </w:rPr>
        <w:t xml:space="preserve">- в ОГКУ "Центр занятости населения </w:t>
      </w:r>
      <w:proofErr w:type="spellStart"/>
      <w:r w:rsidRPr="00B11802">
        <w:rPr>
          <w:sz w:val="27"/>
          <w:szCs w:val="27"/>
        </w:rPr>
        <w:t>Смидовичского</w:t>
      </w:r>
      <w:proofErr w:type="spellEnd"/>
      <w:r w:rsidRPr="00B11802">
        <w:rPr>
          <w:sz w:val="27"/>
          <w:szCs w:val="27"/>
        </w:rPr>
        <w:t xml:space="preserve"> района" и ОГКУ "Центр занятости населения </w:t>
      </w:r>
      <w:proofErr w:type="spellStart"/>
      <w:r w:rsidRPr="00B11802">
        <w:rPr>
          <w:sz w:val="27"/>
          <w:szCs w:val="27"/>
        </w:rPr>
        <w:t>Облученского</w:t>
      </w:r>
      <w:proofErr w:type="spellEnd"/>
      <w:r w:rsidRPr="00B11802">
        <w:rPr>
          <w:sz w:val="27"/>
          <w:szCs w:val="27"/>
        </w:rPr>
        <w:t xml:space="preserve"> района" </w:t>
      </w:r>
      <w:r w:rsidRPr="00B11802">
        <w:rPr>
          <w:bCs/>
          <w:sz w:val="27"/>
          <w:szCs w:val="27"/>
        </w:rPr>
        <w:t xml:space="preserve">принято участие в проведении «дней охраны труда» по теме: </w:t>
      </w:r>
      <w:r w:rsidRPr="00B11802">
        <w:rPr>
          <w:sz w:val="27"/>
          <w:szCs w:val="27"/>
        </w:rPr>
        <w:t>«Оптимизация, сбор и использование данных по охране труда: укрепление основ культуры профилактики» (акты проведения ДОТ прилагаются);</w:t>
      </w:r>
    </w:p>
    <w:p w:rsidR="00E551C2" w:rsidRPr="00B11802" w:rsidRDefault="00E551C2" w:rsidP="00E551C2">
      <w:pPr>
        <w:ind w:firstLine="567"/>
        <w:jc w:val="both"/>
        <w:rPr>
          <w:bCs/>
          <w:sz w:val="27"/>
          <w:szCs w:val="27"/>
        </w:rPr>
      </w:pPr>
      <w:r w:rsidRPr="00B11802">
        <w:rPr>
          <w:bCs/>
          <w:sz w:val="27"/>
          <w:szCs w:val="27"/>
        </w:rPr>
        <w:t>- во всех организациях по окончании работ проведены совещания с руководством учреждений, обсуждены выявленные замечания и способы их устранения.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bCs/>
          <w:sz w:val="27"/>
          <w:szCs w:val="27"/>
        </w:rPr>
        <w:t xml:space="preserve">При выполнении работ по оказанию </w:t>
      </w:r>
      <w:proofErr w:type="spellStart"/>
      <w:r w:rsidRPr="00B11802">
        <w:rPr>
          <w:bCs/>
          <w:sz w:val="27"/>
          <w:szCs w:val="27"/>
        </w:rPr>
        <w:t>госуслуги</w:t>
      </w:r>
      <w:proofErr w:type="spellEnd"/>
      <w:r w:rsidRPr="00B11802">
        <w:rPr>
          <w:bCs/>
          <w:sz w:val="27"/>
          <w:szCs w:val="27"/>
        </w:rPr>
        <w:t xml:space="preserve">, </w:t>
      </w:r>
      <w:r w:rsidRPr="00B11802">
        <w:rPr>
          <w:sz w:val="27"/>
          <w:szCs w:val="27"/>
        </w:rPr>
        <w:t>сотрудники Центра осуществляли: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консультирование работников (в том числе руководящих) указанных учреждений,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пропаганду безопасного труда,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принимали участие в подготовке мероприятий по предупреждению травматизма (посредством организации и проведения обучений, инструктажей, «дней охраны труда», разработки «Планов мероприятий по улучшению условий труда и снижению уровней профессиональных рисков»).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При оказании </w:t>
      </w:r>
      <w:proofErr w:type="spellStart"/>
      <w:r w:rsidRPr="00B11802">
        <w:rPr>
          <w:sz w:val="27"/>
          <w:szCs w:val="27"/>
        </w:rPr>
        <w:t>госуслуги</w:t>
      </w:r>
      <w:proofErr w:type="spellEnd"/>
      <w:r w:rsidRPr="00B11802">
        <w:rPr>
          <w:sz w:val="27"/>
          <w:szCs w:val="27"/>
        </w:rPr>
        <w:t xml:space="preserve"> шести учреждениям </w:t>
      </w:r>
      <w:r w:rsidRPr="00B11802">
        <w:rPr>
          <w:bCs/>
          <w:sz w:val="27"/>
          <w:szCs w:val="27"/>
        </w:rPr>
        <w:t>(</w:t>
      </w:r>
      <w:r w:rsidRPr="00B11802">
        <w:rPr>
          <w:sz w:val="27"/>
          <w:szCs w:val="27"/>
        </w:rPr>
        <w:t>ОГБУ «</w:t>
      </w:r>
      <w:proofErr w:type="spellStart"/>
      <w:r w:rsidRPr="00B11802">
        <w:rPr>
          <w:sz w:val="27"/>
          <w:szCs w:val="27"/>
        </w:rPr>
        <w:t>Автодорпроектконтроль</w:t>
      </w:r>
      <w:proofErr w:type="spellEnd"/>
      <w:r w:rsidRPr="00B11802">
        <w:rPr>
          <w:sz w:val="27"/>
          <w:szCs w:val="27"/>
        </w:rPr>
        <w:t xml:space="preserve">», МКОУ "Основная общеобразовательная школа села Желтый Яр", ОГКУ "Центр занятости населения </w:t>
      </w:r>
      <w:proofErr w:type="spellStart"/>
      <w:r w:rsidRPr="00B11802">
        <w:rPr>
          <w:sz w:val="27"/>
          <w:szCs w:val="27"/>
        </w:rPr>
        <w:t>Смидовичского</w:t>
      </w:r>
      <w:proofErr w:type="spellEnd"/>
      <w:r w:rsidRPr="00B11802">
        <w:rPr>
          <w:sz w:val="27"/>
          <w:szCs w:val="27"/>
        </w:rPr>
        <w:t xml:space="preserve"> района", ОГБУК "Областной краеведческий музей", ОГАУ "</w:t>
      </w:r>
      <w:proofErr w:type="spellStart"/>
      <w:r w:rsidRPr="00B11802">
        <w:rPr>
          <w:sz w:val="27"/>
          <w:szCs w:val="27"/>
        </w:rPr>
        <w:t>Облученский</w:t>
      </w:r>
      <w:proofErr w:type="spellEnd"/>
      <w:r w:rsidRPr="00B11802">
        <w:rPr>
          <w:sz w:val="27"/>
          <w:szCs w:val="27"/>
        </w:rPr>
        <w:t xml:space="preserve"> противопожарный центр", ОГКУ "Центр занятости населения </w:t>
      </w:r>
      <w:proofErr w:type="spellStart"/>
      <w:r w:rsidRPr="00B11802">
        <w:rPr>
          <w:sz w:val="27"/>
          <w:szCs w:val="27"/>
        </w:rPr>
        <w:t>Облученского</w:t>
      </w:r>
      <w:proofErr w:type="spellEnd"/>
      <w:r w:rsidRPr="00B11802">
        <w:rPr>
          <w:sz w:val="27"/>
          <w:szCs w:val="27"/>
        </w:rPr>
        <w:t xml:space="preserve"> района") были даны рекомендации по оформлению раздела «Условия и охрана труда» коллективного договора.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Всем организациям оказана методическая помощь в виде буклетов и брошюр с информациями, руководствами и рекомендациями по различным направлениям деятельности в области охраны труда (выдано 38 экз.). 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По окончании работ, со всеми организациями (8 организаций) подписаны акты выполненных Центром работ с подробным описанием предоставленных услуг (работ).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Кроме того, в отчетном периоде сотрудниками Центра осуществлялась следующая работа.</w:t>
      </w:r>
    </w:p>
    <w:p w:rsidR="00E551C2" w:rsidRPr="00B11802" w:rsidRDefault="00E551C2" w:rsidP="00E551C2">
      <w:pPr>
        <w:ind w:firstLine="567"/>
        <w:jc w:val="both"/>
        <w:rPr>
          <w:color w:val="000000"/>
          <w:sz w:val="27"/>
          <w:szCs w:val="27"/>
        </w:rPr>
      </w:pPr>
      <w:r w:rsidRPr="00B11802">
        <w:rPr>
          <w:sz w:val="27"/>
          <w:szCs w:val="27"/>
        </w:rPr>
        <w:t xml:space="preserve">В июле подготовлено и проведено совещание с предприятиями транспорта, строительства, жилищно-коммунального хозяйства, промышленности города Биробиджана. Тема совещания: </w:t>
      </w:r>
      <w:r w:rsidRPr="00B11802">
        <w:rPr>
          <w:color w:val="000000"/>
          <w:sz w:val="27"/>
          <w:szCs w:val="27"/>
        </w:rPr>
        <w:t>«Соблюдение требований охраны труда – основные критерии безопасности на рабочем месте» (повестка прилагается).</w:t>
      </w:r>
    </w:p>
    <w:p w:rsidR="00E551C2" w:rsidRPr="00B11802" w:rsidRDefault="00E551C2" w:rsidP="00E551C2">
      <w:pPr>
        <w:ind w:firstLine="567"/>
        <w:jc w:val="both"/>
        <w:rPr>
          <w:color w:val="000000"/>
          <w:sz w:val="27"/>
          <w:szCs w:val="27"/>
        </w:rPr>
      </w:pPr>
      <w:r w:rsidRPr="00B11802">
        <w:rPr>
          <w:color w:val="000000"/>
          <w:sz w:val="27"/>
          <w:szCs w:val="27"/>
        </w:rPr>
        <w:t>В августе сотрудниками Центра принято участие в совместном совещании по охране труда с исполнительными органами государственной власти ЕАО, курирующими отрасли ЖКХ и энергетики, сельского хозяйства, ветеринарии, здравоохранения, архитектуры и строительства, организованного управлением по труду правительства области.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В сентябре организовано мероприятие областного значения: обучающий семинар по теме «Разработка и внедрение системы управления охраной труда в организации» с участием представителя ФГБУ «ВНИИ труда» Минтруда России (учебный план прилагается).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В целях осуществления пропаганды безопасного труда и информирования работодателей размещалась информация в СМИ: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а) на телевидении транслировалось объявление о проведении семинара, а затем был осуществлен репортаж с места события (ГТРК «</w:t>
      </w:r>
      <w:proofErr w:type="spellStart"/>
      <w:r w:rsidRPr="00B11802">
        <w:rPr>
          <w:sz w:val="27"/>
          <w:szCs w:val="27"/>
        </w:rPr>
        <w:t>Бира</w:t>
      </w:r>
      <w:proofErr w:type="spellEnd"/>
      <w:r w:rsidRPr="00B11802">
        <w:rPr>
          <w:sz w:val="27"/>
          <w:szCs w:val="27"/>
        </w:rPr>
        <w:t xml:space="preserve">»), который вышел в эфир в </w:t>
      </w:r>
      <w:r w:rsidRPr="00B11802">
        <w:rPr>
          <w:sz w:val="27"/>
          <w:szCs w:val="27"/>
        </w:rPr>
        <w:lastRenderedPageBreak/>
        <w:t>выпуске «Новостей»; итоги июльского совещания также были показаны в новостном выпуске ГТРК «</w:t>
      </w:r>
      <w:proofErr w:type="spellStart"/>
      <w:r w:rsidRPr="00B11802">
        <w:rPr>
          <w:sz w:val="27"/>
          <w:szCs w:val="27"/>
        </w:rPr>
        <w:t>Бира</w:t>
      </w:r>
      <w:proofErr w:type="spellEnd"/>
      <w:r w:rsidRPr="00B11802">
        <w:rPr>
          <w:sz w:val="27"/>
          <w:szCs w:val="27"/>
        </w:rPr>
        <w:t>» на канале «Россия-1»;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б) на интернет портале «</w:t>
      </w:r>
      <w:proofErr w:type="spellStart"/>
      <w:r w:rsidRPr="00B11802">
        <w:rPr>
          <w:sz w:val="27"/>
          <w:szCs w:val="27"/>
        </w:rPr>
        <w:t>ЕАО-Медиа</w:t>
      </w:r>
      <w:proofErr w:type="spellEnd"/>
      <w:r w:rsidRPr="00B11802">
        <w:rPr>
          <w:sz w:val="27"/>
          <w:szCs w:val="27"/>
        </w:rPr>
        <w:t xml:space="preserve">» была размещена аналогичная информация о проведении обучающего семинара (функционирование СУОТ в организации); </w:t>
      </w:r>
    </w:p>
    <w:p w:rsidR="00E551C2" w:rsidRPr="00B11802" w:rsidRDefault="00E551C2" w:rsidP="00E551C2">
      <w:pPr>
        <w:ind w:firstLine="567"/>
        <w:jc w:val="both"/>
        <w:rPr>
          <w:iCs/>
          <w:sz w:val="27"/>
          <w:szCs w:val="27"/>
        </w:rPr>
      </w:pPr>
      <w:r w:rsidRPr="00B11802">
        <w:rPr>
          <w:sz w:val="27"/>
          <w:szCs w:val="27"/>
        </w:rPr>
        <w:t>в) н</w:t>
      </w:r>
      <w:r w:rsidRPr="00B11802">
        <w:rPr>
          <w:iCs/>
          <w:sz w:val="27"/>
          <w:szCs w:val="27"/>
        </w:rPr>
        <w:t>а сайте Центра в течение квартала была размещена следующая информация: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итоги проведения областного месячника охраны труда в 2017 году;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публикация "Медицинская справка водителя вместо психиатрического освидетельствования";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- публикация "Как будет применяться </w:t>
      </w:r>
      <w:proofErr w:type="spellStart"/>
      <w:r w:rsidRPr="00B11802">
        <w:rPr>
          <w:sz w:val="27"/>
          <w:szCs w:val="27"/>
        </w:rPr>
        <w:t>риск-ориентированный</w:t>
      </w:r>
      <w:proofErr w:type="spellEnd"/>
      <w:r w:rsidRPr="00B11802">
        <w:rPr>
          <w:sz w:val="27"/>
          <w:szCs w:val="27"/>
        </w:rPr>
        <w:t xml:space="preserve"> подход при проверках Государственной инспекции труда";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информация об изменениях в методику проведения специальной оценки условий труда;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информация о проведении обучающего семинара по внедрению и функционированию СУОТ;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публикация "Специальная оценка условий труда: время активизации";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итоги совещания от 25.07.2017 г.  с предприятиями транспорта, строительства, жилищно-коммунального хозяйства, промышленности города Биробиджана;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- информация о производственном травматизме и </w:t>
      </w:r>
      <w:proofErr w:type="spellStart"/>
      <w:r w:rsidRPr="00B11802">
        <w:rPr>
          <w:sz w:val="27"/>
          <w:szCs w:val="27"/>
        </w:rPr>
        <w:t>профзаболеваемости</w:t>
      </w:r>
      <w:proofErr w:type="spellEnd"/>
      <w:r w:rsidRPr="00B11802">
        <w:rPr>
          <w:sz w:val="27"/>
          <w:szCs w:val="27"/>
        </w:rPr>
        <w:t xml:space="preserve">  в ЕАО за 1 полугодие 2017 года;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информация о порядке осуществления государственного контроля (надзора) за соблюдением требований законодательства РФ о специальной оценке условий труда;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информация о внедрении процедур оценки и управления профессиональными рисками в систему управления охраной труда организаций;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- информация об утверждении паспорта приоритетного проекта "Внедрение </w:t>
      </w:r>
      <w:proofErr w:type="spellStart"/>
      <w:r w:rsidRPr="00B11802">
        <w:rPr>
          <w:sz w:val="27"/>
          <w:szCs w:val="27"/>
        </w:rPr>
        <w:t>риск-ориентированного</w:t>
      </w:r>
      <w:proofErr w:type="spellEnd"/>
      <w:r w:rsidRPr="00B11802">
        <w:rPr>
          <w:sz w:val="27"/>
          <w:szCs w:val="27"/>
        </w:rPr>
        <w:t xml:space="preserve"> подхода при осуществлении контрольно-надзорной деятельности";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информация об утверждении Правил по охране труда при производстве строительных материалов;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информация об утверждении Правил по охране труда при проведении работ в легкой промышленности;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>- информация о внесении изменений в законодательные акты РФ в части совершенствования механизмов профилактики производственного травматизма и профессиональной заболеваемости.</w:t>
      </w:r>
    </w:p>
    <w:p w:rsidR="00E551C2" w:rsidRPr="00B11802" w:rsidRDefault="00E551C2" w:rsidP="00E551C2">
      <w:pPr>
        <w:ind w:firstLine="567"/>
        <w:jc w:val="both"/>
        <w:rPr>
          <w:sz w:val="27"/>
          <w:szCs w:val="27"/>
        </w:rPr>
      </w:pPr>
      <w:r w:rsidRPr="00B11802">
        <w:rPr>
          <w:sz w:val="27"/>
          <w:szCs w:val="27"/>
        </w:rPr>
        <w:t xml:space="preserve">В отчетном периоде, согласно утвержденному графику платежей, на оказание государственной услуги, установленной </w:t>
      </w:r>
      <w:proofErr w:type="spellStart"/>
      <w:r w:rsidRPr="00B11802">
        <w:rPr>
          <w:sz w:val="27"/>
          <w:szCs w:val="27"/>
        </w:rPr>
        <w:t>госзаданием</w:t>
      </w:r>
      <w:proofErr w:type="spellEnd"/>
      <w:r w:rsidRPr="00B11802">
        <w:rPr>
          <w:sz w:val="27"/>
          <w:szCs w:val="27"/>
        </w:rPr>
        <w:t xml:space="preserve"> ОГБУ «Центр условий и охраны труда» по выполнению работы </w:t>
      </w:r>
      <w:r w:rsidRPr="00B11802">
        <w:rPr>
          <w:spacing w:val="2"/>
          <w:sz w:val="27"/>
          <w:szCs w:val="27"/>
        </w:rPr>
        <w:t>«Осуществление функций службы охраны труда или специалиста по охране труда у работодателей с численностью работников до 50 человек</w:t>
      </w:r>
      <w:r w:rsidRPr="00B11802">
        <w:rPr>
          <w:bCs/>
          <w:sz w:val="27"/>
          <w:szCs w:val="27"/>
        </w:rPr>
        <w:t xml:space="preserve">», </w:t>
      </w:r>
      <w:r w:rsidRPr="00B11802">
        <w:rPr>
          <w:sz w:val="27"/>
          <w:szCs w:val="27"/>
        </w:rPr>
        <w:t>из областного бюджета поступило 43</w:t>
      </w:r>
      <w:r>
        <w:rPr>
          <w:sz w:val="27"/>
          <w:szCs w:val="27"/>
        </w:rPr>
        <w:t>5856,51</w:t>
      </w:r>
      <w:r w:rsidRPr="00B11802">
        <w:rPr>
          <w:sz w:val="27"/>
          <w:szCs w:val="27"/>
        </w:rPr>
        <w:t xml:space="preserve"> (четыреста тридцать </w:t>
      </w:r>
      <w:r>
        <w:rPr>
          <w:sz w:val="27"/>
          <w:szCs w:val="27"/>
        </w:rPr>
        <w:t>пять тысяч восемьсот пятьдесят шесть</w:t>
      </w:r>
      <w:r w:rsidRPr="00B11802">
        <w:rPr>
          <w:sz w:val="27"/>
          <w:szCs w:val="27"/>
        </w:rPr>
        <w:t>) рубл</w:t>
      </w:r>
      <w:r>
        <w:rPr>
          <w:sz w:val="27"/>
          <w:szCs w:val="27"/>
        </w:rPr>
        <w:t>ей</w:t>
      </w:r>
      <w:r w:rsidRPr="00B11802">
        <w:rPr>
          <w:sz w:val="27"/>
          <w:szCs w:val="27"/>
        </w:rPr>
        <w:t xml:space="preserve"> </w:t>
      </w:r>
      <w:r>
        <w:rPr>
          <w:sz w:val="27"/>
          <w:szCs w:val="27"/>
        </w:rPr>
        <w:t>51</w:t>
      </w:r>
      <w:r w:rsidRPr="00B11802">
        <w:rPr>
          <w:sz w:val="27"/>
          <w:szCs w:val="27"/>
        </w:rPr>
        <w:t xml:space="preserve"> копе</w:t>
      </w:r>
      <w:r>
        <w:rPr>
          <w:sz w:val="27"/>
          <w:szCs w:val="27"/>
        </w:rPr>
        <w:t>й</w:t>
      </w:r>
      <w:r w:rsidRPr="00B11802">
        <w:rPr>
          <w:sz w:val="27"/>
          <w:szCs w:val="27"/>
        </w:rPr>
        <w:t>к</w:t>
      </w:r>
      <w:r>
        <w:rPr>
          <w:sz w:val="27"/>
          <w:szCs w:val="27"/>
        </w:rPr>
        <w:t>а</w:t>
      </w:r>
      <w:r w:rsidRPr="00B11802">
        <w:rPr>
          <w:sz w:val="27"/>
          <w:szCs w:val="27"/>
        </w:rPr>
        <w:t xml:space="preserve">.  </w:t>
      </w:r>
    </w:p>
    <w:p w:rsidR="004C2CF5" w:rsidRPr="004C2CF5" w:rsidRDefault="004C2CF5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4C2CF5" w:rsidRPr="004C2CF5" w:rsidSect="00FF32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E64"/>
    <w:multiLevelType w:val="hybridMultilevel"/>
    <w:tmpl w:val="DC0E8C3C"/>
    <w:lvl w:ilvl="0" w:tplc="36269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146EC"/>
    <w:rsid w:val="00013DE9"/>
    <w:rsid w:val="000214BB"/>
    <w:rsid w:val="00052E62"/>
    <w:rsid w:val="00075C6E"/>
    <w:rsid w:val="000D661A"/>
    <w:rsid w:val="0010158E"/>
    <w:rsid w:val="0012013A"/>
    <w:rsid w:val="00143460"/>
    <w:rsid w:val="00155F6E"/>
    <w:rsid w:val="00182987"/>
    <w:rsid w:val="001B4B1D"/>
    <w:rsid w:val="001D1D9B"/>
    <w:rsid w:val="001E6E7E"/>
    <w:rsid w:val="001F55D9"/>
    <w:rsid w:val="00234BD7"/>
    <w:rsid w:val="002518B3"/>
    <w:rsid w:val="002531C8"/>
    <w:rsid w:val="0025795A"/>
    <w:rsid w:val="00285B98"/>
    <w:rsid w:val="002D741F"/>
    <w:rsid w:val="002F0E11"/>
    <w:rsid w:val="00301282"/>
    <w:rsid w:val="00312236"/>
    <w:rsid w:val="003615CB"/>
    <w:rsid w:val="00382F97"/>
    <w:rsid w:val="00396FD5"/>
    <w:rsid w:val="00435B0E"/>
    <w:rsid w:val="00455191"/>
    <w:rsid w:val="0047001C"/>
    <w:rsid w:val="004B3B16"/>
    <w:rsid w:val="004C2C68"/>
    <w:rsid w:val="004C2CF5"/>
    <w:rsid w:val="004C6C57"/>
    <w:rsid w:val="004D3BF9"/>
    <w:rsid w:val="004F2B5A"/>
    <w:rsid w:val="004F32E3"/>
    <w:rsid w:val="004F61A6"/>
    <w:rsid w:val="005047C4"/>
    <w:rsid w:val="005146EC"/>
    <w:rsid w:val="00553120"/>
    <w:rsid w:val="00564047"/>
    <w:rsid w:val="00567174"/>
    <w:rsid w:val="0057640C"/>
    <w:rsid w:val="005957F8"/>
    <w:rsid w:val="005C01D0"/>
    <w:rsid w:val="005E42CD"/>
    <w:rsid w:val="005F3432"/>
    <w:rsid w:val="00632E61"/>
    <w:rsid w:val="006552C5"/>
    <w:rsid w:val="00657B7E"/>
    <w:rsid w:val="0067692F"/>
    <w:rsid w:val="006E7908"/>
    <w:rsid w:val="007103E1"/>
    <w:rsid w:val="007442AB"/>
    <w:rsid w:val="0075406B"/>
    <w:rsid w:val="00770BB5"/>
    <w:rsid w:val="007A4330"/>
    <w:rsid w:val="007C06C1"/>
    <w:rsid w:val="007F6552"/>
    <w:rsid w:val="00814EF3"/>
    <w:rsid w:val="008300BE"/>
    <w:rsid w:val="00853E84"/>
    <w:rsid w:val="00860C33"/>
    <w:rsid w:val="0086139E"/>
    <w:rsid w:val="00894796"/>
    <w:rsid w:val="008D05DF"/>
    <w:rsid w:val="008F1714"/>
    <w:rsid w:val="008F7F68"/>
    <w:rsid w:val="009140B2"/>
    <w:rsid w:val="00920BE2"/>
    <w:rsid w:val="009732DB"/>
    <w:rsid w:val="00976A25"/>
    <w:rsid w:val="009A04F2"/>
    <w:rsid w:val="009A34C5"/>
    <w:rsid w:val="009C5A63"/>
    <w:rsid w:val="009D3054"/>
    <w:rsid w:val="009E6360"/>
    <w:rsid w:val="00A1073C"/>
    <w:rsid w:val="00A802E0"/>
    <w:rsid w:val="00AC17BB"/>
    <w:rsid w:val="00AF16A6"/>
    <w:rsid w:val="00B036E5"/>
    <w:rsid w:val="00B044D9"/>
    <w:rsid w:val="00B14210"/>
    <w:rsid w:val="00B24162"/>
    <w:rsid w:val="00B6523F"/>
    <w:rsid w:val="00B76C8E"/>
    <w:rsid w:val="00B875B8"/>
    <w:rsid w:val="00B9251F"/>
    <w:rsid w:val="00B93DF7"/>
    <w:rsid w:val="00BF40E6"/>
    <w:rsid w:val="00C237AF"/>
    <w:rsid w:val="00C24E72"/>
    <w:rsid w:val="00C2559D"/>
    <w:rsid w:val="00C40A25"/>
    <w:rsid w:val="00C516F7"/>
    <w:rsid w:val="00C709AC"/>
    <w:rsid w:val="00CA5673"/>
    <w:rsid w:val="00D557E2"/>
    <w:rsid w:val="00D5705E"/>
    <w:rsid w:val="00D92D73"/>
    <w:rsid w:val="00D93A97"/>
    <w:rsid w:val="00DE39E8"/>
    <w:rsid w:val="00E109DF"/>
    <w:rsid w:val="00E3155E"/>
    <w:rsid w:val="00E551C2"/>
    <w:rsid w:val="00EA0AE9"/>
    <w:rsid w:val="00EA4B9D"/>
    <w:rsid w:val="00EB1E06"/>
    <w:rsid w:val="00EC5993"/>
    <w:rsid w:val="00EF1ED1"/>
    <w:rsid w:val="00F0575D"/>
    <w:rsid w:val="00F5516F"/>
    <w:rsid w:val="00F56DD8"/>
    <w:rsid w:val="00F94628"/>
    <w:rsid w:val="00FA2EAF"/>
    <w:rsid w:val="00FE136F"/>
    <w:rsid w:val="00FF14EA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6EC"/>
    <w:pPr>
      <w:keepNext/>
      <w:autoSpaceDE w:val="0"/>
      <w:autoSpaceDN w:val="0"/>
      <w:adjustRightInd w:val="0"/>
      <w:ind w:firstLine="720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46EC"/>
    <w:pPr>
      <w:keepNext/>
      <w:autoSpaceDE w:val="0"/>
      <w:autoSpaceDN w:val="0"/>
      <w:adjustRightInd w:val="0"/>
      <w:jc w:val="both"/>
      <w:outlineLvl w:val="4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514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1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4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146EC"/>
    <w:pPr>
      <w:autoSpaceDE w:val="0"/>
      <w:autoSpaceDN w:val="0"/>
      <w:adjustRightInd w:val="0"/>
      <w:jc w:val="center"/>
    </w:pPr>
    <w:rPr>
      <w:bCs/>
      <w:szCs w:val="28"/>
    </w:rPr>
  </w:style>
  <w:style w:type="character" w:customStyle="1" w:styleId="20">
    <w:name w:val="Основной текст 2 Знак"/>
    <w:basedOn w:val="a0"/>
    <w:link w:val="2"/>
    <w:semiHidden/>
    <w:rsid w:val="005146EC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5146EC"/>
    <w:pPr>
      <w:autoSpaceDE w:val="0"/>
      <w:autoSpaceDN w:val="0"/>
      <w:adjustRightInd w:val="0"/>
      <w:jc w:val="both"/>
    </w:pPr>
    <w:rPr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5146EC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table" w:styleId="a5">
    <w:name w:val="Table Grid"/>
    <w:basedOn w:val="a1"/>
    <w:uiPriority w:val="59"/>
    <w:rsid w:val="00F0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A3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trud_233-1</dc:creator>
  <cp:lastModifiedBy>Admin</cp:lastModifiedBy>
  <cp:revision>9</cp:revision>
  <cp:lastPrinted>2017-07-21T08:24:00Z</cp:lastPrinted>
  <dcterms:created xsi:type="dcterms:W3CDTF">2017-07-03T13:34:00Z</dcterms:created>
  <dcterms:modified xsi:type="dcterms:W3CDTF">2017-12-04T23:23:00Z</dcterms:modified>
</cp:coreProperties>
</file>