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C2" w:rsidRPr="00991A97" w:rsidRDefault="00991A97" w:rsidP="00A3449B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91A9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Вопрос № 4: </w:t>
      </w:r>
      <w:r w:rsidRPr="00991A9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</w:t>
      </w:r>
      <w:r w:rsidR="005F5715" w:rsidRPr="00991A9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План мероприятий по охране труда: кто составляет и что в него включить</w:t>
      </w:r>
      <w:r w:rsidRPr="00991A9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5F5715" w:rsidRPr="00991A97" w:rsidRDefault="005F5715" w:rsidP="00471FED">
      <w:pPr>
        <w:shd w:val="clear" w:color="auto" w:fill="FFFFFF"/>
        <w:spacing w:before="100" w:beforeAutospacing="1" w:after="360" w:line="40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Важнейшей частью работы специалиста по охране труда является планирование. От того, как составлен план мероприятий по </w:t>
      </w:r>
      <w:proofErr w:type="gramStart"/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зависит и то, как он будет выполняться. План должен содержать в себе все проблемные вопросы, которые не удалось решить в текущем периоде. Поэтому к составлению плана на год нужно относиться крайне серьезно, и заняться этим необходимо уже сегодня. В </w:t>
      </w:r>
      <w:r w:rsidR="0047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материале</w:t>
      </w:r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рассказали, для чего</w:t>
      </w:r>
      <w:r w:rsidR="0047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</w:t>
      </w:r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составлять план мероприятий по охране труда, является ли он обязательным для каждой </w:t>
      </w:r>
      <w:r w:rsidR="0047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включить в документ на следующий год. </w:t>
      </w:r>
    </w:p>
    <w:p w:rsidR="005F5715" w:rsidRPr="00991A97" w:rsidRDefault="005F5715" w:rsidP="005F5715">
      <w:pPr>
        <w:shd w:val="clear" w:color="auto" w:fill="FFFFFF"/>
        <w:spacing w:before="900" w:after="375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чего нужен план мероприятий по улучшению охраны труда</w:t>
      </w:r>
    </w:p>
    <w:p w:rsidR="005F5715" w:rsidRPr="00991A97" w:rsidRDefault="005F5715" w:rsidP="00471FED">
      <w:pPr>
        <w:shd w:val="clear" w:color="auto" w:fill="FFFFFF"/>
        <w:spacing w:after="0" w:line="40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hyperlink r:id="rId6" w:history="1">
        <w:r w:rsidRPr="00991A97">
          <w:rPr>
            <w:rFonts w:ascii="Times New Roman" w:eastAsia="Times New Roman" w:hAnsi="Times New Roman" w:cs="Times New Roman"/>
            <w:color w:val="1990FE"/>
            <w:sz w:val="28"/>
            <w:szCs w:val="28"/>
            <w:u w:val="single"/>
            <w:lang w:eastAsia="ru-RU"/>
          </w:rPr>
          <w:t>статье 214 ТК РФ</w:t>
        </w:r>
      </w:hyperlink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указано, что работодатель обязан обеспечить разработку мер, направленных на обеспечение безопасных условий и охраны труда, оценку уровня профессиональных рисков перед вводом в эксплуатацию производственных объектов, вновь организованных рабочих мест. </w:t>
      </w:r>
      <w:r w:rsidRPr="00991A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План мероприятий по охране труда необходимо составлять ежегодно. Такое требование содержится в 225 статье ТК РФ.</w:t>
      </w:r>
    </w:p>
    <w:p w:rsidR="005F5715" w:rsidRPr="00991A97" w:rsidRDefault="005F5715" w:rsidP="00471FED">
      <w:pPr>
        <w:shd w:val="clear" w:color="auto" w:fill="FFFFFF"/>
        <w:spacing w:after="360" w:line="40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Плане мероприятий по охране труда организации рекомендуется указывать следующие примерные сведения:</w:t>
      </w:r>
    </w:p>
    <w:p w:rsidR="005F5715" w:rsidRPr="00991A97" w:rsidRDefault="005F5715" w:rsidP="005F5715">
      <w:pPr>
        <w:numPr>
          <w:ilvl w:val="0"/>
          <w:numId w:val="3"/>
        </w:numPr>
        <w:shd w:val="clear" w:color="auto" w:fill="FFFFFF"/>
        <w:spacing w:after="0" w:line="40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мероприятий;</w:t>
      </w:r>
    </w:p>
    <w:p w:rsidR="005F5715" w:rsidRPr="00991A97" w:rsidRDefault="005F5715" w:rsidP="005F5715">
      <w:pPr>
        <w:numPr>
          <w:ilvl w:val="0"/>
          <w:numId w:val="3"/>
        </w:numPr>
        <w:shd w:val="clear" w:color="auto" w:fill="FFFFFF"/>
        <w:spacing w:before="225" w:after="0" w:line="40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ожидаемый результат по каждому мероприятию;</w:t>
      </w:r>
    </w:p>
    <w:p w:rsidR="005F5715" w:rsidRPr="00991A97" w:rsidRDefault="005F5715" w:rsidP="005F5715">
      <w:pPr>
        <w:numPr>
          <w:ilvl w:val="0"/>
          <w:numId w:val="3"/>
        </w:numPr>
        <w:shd w:val="clear" w:color="auto" w:fill="FFFFFF"/>
        <w:spacing w:before="225" w:after="0" w:line="40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реализации по каждому мероприятию;</w:t>
      </w:r>
    </w:p>
    <w:p w:rsidR="005F5715" w:rsidRPr="00991A97" w:rsidRDefault="005F5715" w:rsidP="005F5715">
      <w:pPr>
        <w:numPr>
          <w:ilvl w:val="0"/>
          <w:numId w:val="3"/>
        </w:numPr>
        <w:shd w:val="clear" w:color="auto" w:fill="FFFFFF"/>
        <w:spacing w:before="225" w:after="0" w:line="40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ответственные лица за реализацию мероприятий;</w:t>
      </w:r>
    </w:p>
    <w:p w:rsidR="00471FED" w:rsidRDefault="005F5715" w:rsidP="00471FED">
      <w:pPr>
        <w:numPr>
          <w:ilvl w:val="0"/>
          <w:numId w:val="3"/>
        </w:numPr>
        <w:shd w:val="clear" w:color="auto" w:fill="FFFFFF"/>
        <w:spacing w:before="225" w:after="0" w:line="40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выделяемые ресурсы и источники финансирования мероприятий.</w:t>
      </w:r>
    </w:p>
    <w:p w:rsidR="00471FED" w:rsidRPr="00471FED" w:rsidRDefault="00471FED" w:rsidP="00471FED">
      <w:pPr>
        <w:shd w:val="clear" w:color="auto" w:fill="FFFFFF"/>
        <w:spacing w:before="225"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715" w:rsidRPr="00991A97" w:rsidRDefault="005F5715" w:rsidP="00471FED">
      <w:pPr>
        <w:shd w:val="clear" w:color="auto" w:fill="FFFFFF"/>
        <w:spacing w:after="0" w:line="40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составлении Плана мероприятий по охране труда организации работодатель вправе руководствоваться примерным перечнем мероприятий по улучшению условий и охраны труда и снижению уровней </w:t>
      </w:r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профессиональных рисков. Этот перечень утвержден </w:t>
      </w:r>
      <w:hyperlink r:id="rId7" w:history="1">
        <w:r w:rsidRPr="00991A97">
          <w:rPr>
            <w:rFonts w:ascii="Times New Roman" w:eastAsia="Times New Roman" w:hAnsi="Times New Roman" w:cs="Times New Roman"/>
            <w:color w:val="1990FE"/>
            <w:sz w:val="28"/>
            <w:szCs w:val="28"/>
            <w:u w:val="single"/>
            <w:lang w:eastAsia="ru-RU"/>
          </w:rPr>
          <w:t>приказом Минтруда от 29.10.2021 № 771н</w:t>
        </w:r>
      </w:hyperlink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этом приказе перечислены 33 </w:t>
      </w:r>
      <w:proofErr w:type="gramStart"/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примерных</w:t>
      </w:r>
      <w:proofErr w:type="gramEnd"/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мероприятия, но это не означает, что работодатель может проигнорировать данный документ.  Работодатель выбирает те, что подходят ему, что ему необходимы. </w:t>
      </w:r>
      <w:r w:rsidR="00471FED"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5715" w:rsidRPr="00991A97" w:rsidRDefault="005F5715" w:rsidP="005F5715">
      <w:pPr>
        <w:shd w:val="clear" w:color="auto" w:fill="FFFFFF"/>
        <w:spacing w:after="36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A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0DDFD7A" wp14:editId="0F523592">
            <wp:extent cx="5441491" cy="2989542"/>
            <wp:effectExtent l="0" t="0" r="6985" b="1905"/>
            <wp:docPr id="1" name="Рисунок 10" descr="https://coko1.ru/wp-content/uploads/2024/09/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oko1.ru/wp-content/uploads/2024/09/1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365" cy="299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715" w:rsidRPr="00991A97" w:rsidRDefault="005F5715" w:rsidP="00471FED">
      <w:pPr>
        <w:shd w:val="clear" w:color="auto" w:fill="FFFFFF"/>
        <w:spacing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Обратите внимание!</w:t>
      </w:r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Главным документом по охране труда является </w:t>
      </w:r>
      <w:hyperlink r:id="rId9" w:history="1">
        <w:r w:rsidRPr="00991A97">
          <w:rPr>
            <w:rFonts w:ascii="Times New Roman" w:eastAsia="Times New Roman" w:hAnsi="Times New Roman" w:cs="Times New Roman"/>
            <w:color w:val="1990FE"/>
            <w:sz w:val="28"/>
            <w:szCs w:val="28"/>
            <w:u w:val="single"/>
            <w:lang w:eastAsia="ru-RU"/>
          </w:rPr>
          <w:t>Положение о системе управления охраной труда</w:t>
        </w:r>
      </w:hyperlink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(СУОТ). В этом документе должно быть указано, как планировать мероприятия по охране труда, какие показатели при этом должны быть учтены. Даже в том случае, если вы еще не составили Положение о СУОТ, вы должны составить план мероприятий по охране труда на следующий год. Этого от вас потребует финансово-экономический отдел, прежде всего.</w:t>
      </w:r>
    </w:p>
    <w:p w:rsidR="005F5715" w:rsidRPr="00991A97" w:rsidRDefault="005F5715" w:rsidP="00471FED">
      <w:pPr>
        <w:shd w:val="clear" w:color="auto" w:fill="FFFFFF"/>
        <w:spacing w:after="36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мероприятий по охране труда учитывает изменения, которые влияют на функционирование СУОТ, включая:</w:t>
      </w:r>
    </w:p>
    <w:p w:rsidR="005F5715" w:rsidRPr="00991A97" w:rsidRDefault="005F5715" w:rsidP="00471FED">
      <w:pPr>
        <w:numPr>
          <w:ilvl w:val="0"/>
          <w:numId w:val="4"/>
        </w:numPr>
        <w:shd w:val="clear" w:color="auto" w:fill="FFFFFF"/>
        <w:spacing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нормативных правовых актах, содержащих государственные нормативные требования охраны труда;</w:t>
      </w:r>
    </w:p>
    <w:p w:rsidR="005F5715" w:rsidRPr="00991A97" w:rsidRDefault="005F5715" w:rsidP="00471FED">
      <w:pPr>
        <w:numPr>
          <w:ilvl w:val="0"/>
          <w:numId w:val="4"/>
        </w:numPr>
        <w:shd w:val="clear" w:color="auto" w:fill="FFFFFF"/>
        <w:spacing w:before="225"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в условиях труда работниках (результатах специальной оценки условий труда (СОУТ и </w:t>
      </w:r>
      <w:proofErr w:type="gramStart"/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</w:t>
      </w:r>
      <w:proofErr w:type="gramEnd"/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F5715" w:rsidRPr="00991A97" w:rsidRDefault="005F5715" w:rsidP="00471FED">
      <w:pPr>
        <w:numPr>
          <w:ilvl w:val="0"/>
          <w:numId w:val="4"/>
        </w:numPr>
        <w:shd w:val="clear" w:color="auto" w:fill="FFFFFF"/>
        <w:spacing w:before="225"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внедрение новой продукции, услуг и процессов или изменение существующих продукции, услуг и процессов, сопровождающихся </w:t>
      </w:r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изменением расположения рабочих мест и производственной среды (здания и сооружения, оборудование, технологические процессы, инструменты, материалы и сырье).</w:t>
      </w:r>
    </w:p>
    <w:p w:rsidR="005F5715" w:rsidRPr="00991A97" w:rsidRDefault="005F5715" w:rsidP="005F5715">
      <w:pPr>
        <w:shd w:val="clear" w:color="auto" w:fill="FFFFFF"/>
        <w:spacing w:after="36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A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FDDEC71" wp14:editId="5FC4930D">
            <wp:extent cx="6429375" cy="1750572"/>
            <wp:effectExtent l="0" t="0" r="0" b="2540"/>
            <wp:docPr id="2" name="Рисунок 11" descr="https://coko1.ru/wp-content/uploads/2024/09/2024-09-12_11-55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oko1.ru/wp-content/uploads/2024/09/2024-09-12_11-55-3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75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715" w:rsidRPr="00991A97" w:rsidRDefault="005F5715" w:rsidP="00471FED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мероприятий по улучшению условий и охраны труда работодателями (за исключением государственных унитарных предприятий и федеральных учреждений) осуществляется в размере </w:t>
      </w:r>
      <w:r w:rsidRPr="00991A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 менее 0,2% суммы затрат на производство продукции (работ, услуг)</w:t>
      </w:r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99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Эту сумму работодатель должен ежегодно тратить на мероприятия по предотвращению травматизма и профзаболеваний, а если он решит проигнорировать требования ТК РФ, его могут оштрафовать (ч.1 ст.5.27.1 КоАП).</w:t>
      </w:r>
    </w:p>
    <w:p w:rsidR="005F5715" w:rsidRPr="00991A97" w:rsidRDefault="005F5715" w:rsidP="00471FED">
      <w:pPr>
        <w:shd w:val="clear" w:color="auto" w:fill="FFFFFF"/>
        <w:spacing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Важно!</w:t>
      </w:r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Исключением из этого правила являются бюджеты государственных унитарных предприятий и федеральных учреждений. Эти учреждения финансируются за счет средств государственного бюджета, поэтому расходы на охрану труда они производят, но не должны придерживаться цифры именно 0,2%.</w:t>
      </w:r>
    </w:p>
    <w:p w:rsidR="005F5715" w:rsidRPr="00991A97" w:rsidRDefault="005F5715" w:rsidP="00471FED">
      <w:pPr>
        <w:shd w:val="clear" w:color="auto" w:fill="FFFFFF"/>
        <w:spacing w:after="36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мероприятиям, предусмотренным законодательством, относятся меры по предупреждению травматизма и профзаболеваний, которые следуют из этих двух нормативных правовых актов:</w:t>
      </w:r>
    </w:p>
    <w:p w:rsidR="005F5715" w:rsidRPr="00991A97" w:rsidRDefault="005F5715" w:rsidP="00471FED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№1. </w:t>
      </w:r>
      <w:hyperlink r:id="rId11" w:history="1">
        <w:r w:rsidRPr="00991A97">
          <w:rPr>
            <w:rFonts w:ascii="Times New Roman" w:eastAsia="Times New Roman" w:hAnsi="Times New Roman" w:cs="Times New Roman"/>
            <w:b/>
            <w:bCs/>
            <w:color w:val="1990FE"/>
            <w:sz w:val="28"/>
            <w:szCs w:val="28"/>
            <w:u w:val="single"/>
            <w:lang w:eastAsia="ru-RU"/>
          </w:rPr>
          <w:t>Приказ Минтруда России от 29.10.2021 № 771н</w:t>
        </w:r>
      </w:hyperlink>
      <w:r w:rsidRPr="0099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Документом утвердили примерный перечень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уровней. В нем вы найдете подробный перечень мероприятий, который нужно организовать каждому работодателю, в зависимости от численности, структуры и видов деятельности.</w:t>
      </w:r>
    </w:p>
    <w:p w:rsidR="005F5715" w:rsidRPr="00991A97" w:rsidRDefault="005F5715" w:rsidP="00471FED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№2. </w:t>
      </w:r>
      <w:hyperlink r:id="rId12" w:history="1">
        <w:r w:rsidRPr="00991A97">
          <w:rPr>
            <w:rFonts w:ascii="Times New Roman" w:eastAsia="Times New Roman" w:hAnsi="Times New Roman" w:cs="Times New Roman"/>
            <w:b/>
            <w:bCs/>
            <w:color w:val="1990FE"/>
            <w:sz w:val="28"/>
            <w:szCs w:val="28"/>
            <w:u w:val="single"/>
            <w:lang w:eastAsia="ru-RU"/>
          </w:rPr>
          <w:t>Приказ Минтруда России от 14.07.2021 № 467н</w:t>
        </w:r>
      </w:hyperlink>
      <w:r w:rsidRPr="0099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Документ утверждает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факторами.</w:t>
      </w:r>
    </w:p>
    <w:p w:rsidR="005F5715" w:rsidRPr="00991A97" w:rsidRDefault="005F5715" w:rsidP="00471FED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обязан выбрать из Примерного перечня № 771н те мероприятия, которые соответствуют видам деятельности организации. </w:t>
      </w:r>
      <w:r w:rsidRPr="0099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Расходы на мероприятия по охране труда уменьшают сумму налогов на прибыль.</w:t>
      </w:r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Сделано это для того, чтобы мотивировать работодателя на улучшение условий труда и </w:t>
      </w:r>
      <w:proofErr w:type="gramStart"/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снижать</w:t>
      </w:r>
      <w:proofErr w:type="gramEnd"/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 травматизм.</w:t>
      </w:r>
    </w:p>
    <w:p w:rsidR="005F5715" w:rsidRPr="00991A97" w:rsidRDefault="005F5715" w:rsidP="00471FED">
      <w:pPr>
        <w:shd w:val="clear" w:color="auto" w:fill="FFFFFF"/>
        <w:spacing w:line="5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Важно!</w:t>
      </w:r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является расходами на охрану труда, например, приобретение кондиционеров, если по данным производственного контроля или СОУТ не выявлено отклонение от государственных гигиенических нормативов, то есть условия труда и так были нормальными.</w:t>
      </w:r>
    </w:p>
    <w:p w:rsidR="005F5715" w:rsidRDefault="005F5715" w:rsidP="00471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годового плана вы обязаны спланировать, сколько средств вы сможете получить от СФР по предупредительным мерам на снижение травматизма. </w:t>
      </w:r>
      <w:r w:rsidR="00471FED"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1FED" w:rsidRPr="00991A97" w:rsidRDefault="00471FED" w:rsidP="00471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715" w:rsidRPr="00991A97" w:rsidRDefault="005F5715" w:rsidP="00471FE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Кто участвует в составлении плана мероприятий </w:t>
      </w:r>
      <w:proofErr w:type="gramStart"/>
      <w:r w:rsidRPr="0099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proofErr w:type="gramEnd"/>
      <w:r w:rsidRPr="0099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</w:t>
      </w:r>
    </w:p>
    <w:p w:rsidR="005F5715" w:rsidRPr="00991A97" w:rsidRDefault="005F5715" w:rsidP="00471FED">
      <w:pPr>
        <w:shd w:val="clear" w:color="auto" w:fill="FFFFFF"/>
        <w:spacing w:after="36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составлении Плана мероприятий по охране труда участвует не только специалист по охране труда. Вы должны согласовать свой План с представительным органом работников, с экономистами, который формируют годовой бюджет. То есть вы как СОТ, прежде чем приступить к формированию документа, должны собрать всю необходимую информацию, которая для этого необходима.</w:t>
      </w:r>
    </w:p>
    <w:p w:rsidR="00471FED" w:rsidRDefault="005F5715" w:rsidP="00471FE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кем взаимодействовать </w:t>
      </w:r>
      <w:proofErr w:type="spellStart"/>
      <w:r w:rsidRPr="0099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СОТу</w:t>
      </w:r>
      <w:proofErr w:type="spellEnd"/>
      <w:r w:rsidRPr="0099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чтобы составить План мероприятий по охране труда: </w:t>
      </w:r>
    </w:p>
    <w:p w:rsidR="005F5715" w:rsidRPr="00991A97" w:rsidRDefault="005F5715" w:rsidP="00471FE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</w:t>
      </w:r>
    </w:p>
    <w:p w:rsidR="005F5715" w:rsidRPr="00991A97" w:rsidRDefault="005F5715" w:rsidP="00471FED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1.</w:t>
      </w:r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Запросите у главного бухгалтера вашей </w:t>
      </w:r>
      <w:r w:rsidR="0047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 суммы: сколько вы можете запланировать на охрану труда, и сколько из них возместить из Социального фонда России.</w:t>
      </w:r>
    </w:p>
    <w:p w:rsidR="005F5715" w:rsidRPr="00991A97" w:rsidRDefault="005F5715" w:rsidP="00471FED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Шаг 2.</w:t>
      </w:r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Проанализируйте мероприятия, которые вы провели в уходящем году. Возможно, вы приобретали зимние СИЗ, срок </w:t>
      </w:r>
      <w:proofErr w:type="gramStart"/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носки</w:t>
      </w:r>
      <w:proofErr w:type="gramEnd"/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2 года, поэтому можно не покупать их в этом году.</w:t>
      </w:r>
    </w:p>
    <w:p w:rsidR="005F5715" w:rsidRPr="00991A97" w:rsidRDefault="005F5715" w:rsidP="00471FED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3.</w:t>
      </w:r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Если в текущем году в вашей </w:t>
      </w:r>
      <w:r w:rsidR="0047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проводили СОУТ или оценку </w:t>
      </w:r>
      <w:proofErr w:type="spellStart"/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профрисков</w:t>
      </w:r>
      <w:proofErr w:type="spellEnd"/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проанализируйте результаты и включите необходимые мероприятия в План. Если с работниками произошли несчастные случаи или в адрес </w:t>
      </w:r>
      <w:r w:rsidR="003B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направлены предписания от надзорных органов, все это также необходимо учесть.</w:t>
      </w:r>
    </w:p>
    <w:p w:rsidR="005F5715" w:rsidRPr="00991A97" w:rsidRDefault="005F5715" w:rsidP="00471FED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4. </w:t>
      </w:r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Опросите руководителей подразделений вашей </w:t>
      </w:r>
      <w:r w:rsidR="003B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Уточните у них, что необходимо запланировать на будущий год. Например, не требуется ли закупить новые </w:t>
      </w:r>
      <w:proofErr w:type="spellStart"/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СИЗы</w:t>
      </w:r>
      <w:proofErr w:type="spellEnd"/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как планируется расширение одного из цехов, или необходимо оборудовать новое помещение средствами коллективной защиты, или нужно запланировать проведение оценки </w:t>
      </w:r>
      <w:proofErr w:type="spellStart"/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профрисков</w:t>
      </w:r>
      <w:proofErr w:type="spellEnd"/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необходимо, чтобы понимать, какие задачи по охране труда могут возникнуть в ближайшее время и заранее внести их в План. Рекомендуем эту информацию получать от руководителей подразделений в письменном виде, например в формате докладной записки.</w:t>
      </w:r>
    </w:p>
    <w:p w:rsidR="005F5715" w:rsidRPr="00991A97" w:rsidRDefault="005F5715" w:rsidP="00471FED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5.</w:t>
      </w:r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Учтите в Плане те мероприятия, срок действия которых наступает в новом году.</w:t>
      </w:r>
    </w:p>
    <w:p w:rsidR="005F5715" w:rsidRPr="00991A97" w:rsidRDefault="005F5715" w:rsidP="00471FED">
      <w:pPr>
        <w:shd w:val="clear" w:color="auto" w:fill="FFFFFF"/>
        <w:spacing w:after="36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затраты на охрану труда должны быть учтены в плане финансово-хозяйственной деятельности предприятия, причем не только с поквартальной, но и ежемесячной разбивкой. Делают это для того, чтобы избежать кассового разрыва.</w:t>
      </w:r>
    </w:p>
    <w:p w:rsidR="005F5715" w:rsidRPr="00991A97" w:rsidRDefault="005F5715" w:rsidP="00471FED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6.</w:t>
      </w:r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Утвердите План у руководителя организации.</w:t>
      </w:r>
    </w:p>
    <w:p w:rsidR="005F5715" w:rsidRPr="00991A97" w:rsidRDefault="005F5715" w:rsidP="00471FED">
      <w:pPr>
        <w:shd w:val="clear" w:color="auto" w:fill="FFFFFF"/>
        <w:spacing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Внимание!</w:t>
      </w:r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Работник не несет расходов на финансирование мероприятий по улучшению условий и охраны труда. Вы не можете переложить на него обязанности работодателя, например, по оплате медосмотра или покупке СИЗ.</w:t>
      </w:r>
    </w:p>
    <w:p w:rsidR="005F5715" w:rsidRDefault="005F5715" w:rsidP="00471FED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Учтите также, что не все мероприятия по охране труда являются ежегодными, например </w:t>
      </w:r>
      <w:proofErr w:type="spellStart"/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спецоценка</w:t>
      </w:r>
      <w:proofErr w:type="spellEnd"/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1 раз в 5 лет, за исключением внеплановой. Но и </w:t>
      </w:r>
      <w:proofErr w:type="gramStart"/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внеплановая</w:t>
      </w:r>
      <w:proofErr w:type="gramEnd"/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СОУТ не выплывает как айсберг в океане. Вы — специалист по охране труда, должны владеть полной и своевременной информацией, когда пройдет капитальный ремонт, после которого нужно проводить </w:t>
      </w:r>
      <w:proofErr w:type="spellStart"/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спецоценку</w:t>
      </w:r>
      <w:proofErr w:type="spellEnd"/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заново, если рабочие места переехали. Вы должны </w:t>
      </w:r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знать, когда на рабочих местах появится новое оборудование, а старое демонтируют. Ведь все это — </w:t>
      </w:r>
      <w:proofErr w:type="gramStart"/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</w:t>
      </w:r>
      <w:proofErr w:type="gramEnd"/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для оценки рисков, так и для СОУТ, а, возможно, и для внепланового обучения или инструктажей.</w:t>
      </w:r>
    </w:p>
    <w:p w:rsidR="003B5746" w:rsidRPr="00991A97" w:rsidRDefault="003B5746" w:rsidP="00471FED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715" w:rsidRPr="00991A97" w:rsidRDefault="005F5715" w:rsidP="00471FED">
      <w:pPr>
        <w:shd w:val="clear" w:color="auto" w:fill="FADF73"/>
        <w:spacing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A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«Вы должны противостоять грубым нарушениям требований охраны труда, которые кроются в мелочах: например, работникам выдают каждый месяц пачку стирального порошка или кусок хозяйственного мыла, для того, чтобы он стирал свою робу. Или работники ходят и оплачивают из своего кармана за психиатрическое освидетельствование. Если такое происходит, и вы об этом знаете — вы участник правонарушения, а возможно, и преступления. Если вы не знали, но прочитали эту </w:t>
      </w:r>
      <w:r w:rsidR="003B57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информацию</w:t>
      </w:r>
      <w:r w:rsidRPr="00991A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немедленно приступайте к наведению порядка».</w:t>
      </w:r>
    </w:p>
    <w:p w:rsidR="005F5715" w:rsidRPr="00991A97" w:rsidRDefault="005F5715" w:rsidP="00471FED">
      <w:pPr>
        <w:shd w:val="clear" w:color="auto" w:fill="FFFFFF"/>
        <w:spacing w:before="900" w:after="375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включить в план мероприятий по улучшению условий охраны труда: разбор образца</w:t>
      </w:r>
    </w:p>
    <w:p w:rsidR="005F5715" w:rsidRPr="00991A97" w:rsidRDefault="005F5715" w:rsidP="00471FED">
      <w:pPr>
        <w:shd w:val="clear" w:color="auto" w:fill="FFFFFF"/>
        <w:spacing w:after="36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составили таблицу с Планом мероприятий по охране труда условного предприятия ООО «Молочные берега». На его примере вы можете составить документ для своей компании.</w:t>
      </w:r>
    </w:p>
    <w:p w:rsidR="005F5715" w:rsidRPr="00991A97" w:rsidRDefault="005F5715" w:rsidP="00471FED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A9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Вводные данные по условному предприятию. </w:t>
      </w:r>
      <w:r w:rsidRPr="00991A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 данным бухгалтерского учета, в соответствии с Положением по бухгалтерскому учету «Расходы организации» ПБУ 10/99, в финансовых результатах за предыдущий, 2023 г. по ООО «Молочные берега» была указана сумма затрат на производство в размере 260 млн. рублей. 0,2 % от этой суммы составляет 520 </w:t>
      </w:r>
      <w:proofErr w:type="spellStart"/>
      <w:r w:rsidRPr="00991A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тыс</w:t>
      </w:r>
      <w:proofErr w:type="gramStart"/>
      <w:r w:rsidRPr="00991A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.р</w:t>
      </w:r>
      <w:proofErr w:type="gramEnd"/>
      <w:r w:rsidRPr="00991A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ублей</w:t>
      </w:r>
      <w:proofErr w:type="spellEnd"/>
      <w:r w:rsidRPr="00991A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Меньше, чем на эту сумму, тратить на охрану труда нельзя. Больше — можно. </w:t>
      </w:r>
    </w:p>
    <w:p w:rsidR="005F5715" w:rsidRPr="00991A97" w:rsidRDefault="005F5715" w:rsidP="00471FED">
      <w:pPr>
        <w:shd w:val="clear" w:color="auto" w:fill="FFFFFF"/>
        <w:spacing w:after="36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значимые мероприятия нужно обязательно провести через финансирование СФР. А это значит, что и планировать их нужно на первое полугодие, чтобы не бегать в спешке в июле.</w:t>
      </w:r>
    </w:p>
    <w:p w:rsidR="005F5715" w:rsidRPr="00991A97" w:rsidRDefault="005F5715" w:rsidP="003B5746">
      <w:pPr>
        <w:shd w:val="clear" w:color="auto" w:fill="FFFFFF"/>
        <w:spacing w:after="360" w:line="405" w:lineRule="atLeast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A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34A380F" wp14:editId="2155653A">
            <wp:extent cx="6833391" cy="2645185"/>
            <wp:effectExtent l="0" t="0" r="5715" b="3175"/>
            <wp:docPr id="3" name="Рисунок 14" descr="https://coko1.ru/wp-content/uploads/2024/09/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oko1.ru/wp-content/uploads/2024/09/1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889" cy="264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715" w:rsidRPr="00991A97" w:rsidRDefault="005F5715" w:rsidP="005F5715">
      <w:pPr>
        <w:shd w:val="clear" w:color="auto" w:fill="FFFFFF"/>
        <w:spacing w:after="36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5715" w:rsidRPr="00991A97" w:rsidRDefault="005F5715" w:rsidP="005F5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A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4192A60" wp14:editId="347B8994">
                <wp:extent cx="304800" cy="304800"/>
                <wp:effectExtent l="0" t="0" r="0" b="0"/>
                <wp:docPr id="86" name="AutoShape 15" descr="https://coko1.ru/articles/protection/kak-razrabotat-polozhenie-o-suot-novye-trebovaniya-i-obrazec-zapolneniya/">
                  <a:hlinkClick xmlns:a="http://schemas.openxmlformats.org/drawingml/2006/main" r:id="rId9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Описание: https://coko1.ru/articles/protection/kak-razrabotat-polozhenie-o-suot-novye-trebovaniya-i-obrazec-zapolneniya/" href="https://coko1.ru/articles/protection/kak-razrabotat-polozhenie-o-suot-novye-trebovaniya-i-obrazec-zapolneniya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5F5715" w:rsidRPr="00991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E7628"/>
    <w:multiLevelType w:val="multilevel"/>
    <w:tmpl w:val="72F2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B0B0A"/>
    <w:multiLevelType w:val="multilevel"/>
    <w:tmpl w:val="69CE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564A8F"/>
    <w:multiLevelType w:val="multilevel"/>
    <w:tmpl w:val="40C2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6D5154"/>
    <w:multiLevelType w:val="multilevel"/>
    <w:tmpl w:val="ADF2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6C"/>
    <w:rsid w:val="001401C2"/>
    <w:rsid w:val="003B5746"/>
    <w:rsid w:val="00471FED"/>
    <w:rsid w:val="005F5715"/>
    <w:rsid w:val="006A1CD8"/>
    <w:rsid w:val="00991A97"/>
    <w:rsid w:val="00A3449B"/>
    <w:rsid w:val="00EE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D8"/>
  </w:style>
  <w:style w:type="paragraph" w:styleId="1">
    <w:name w:val="heading 1"/>
    <w:basedOn w:val="a"/>
    <w:next w:val="a"/>
    <w:link w:val="10"/>
    <w:uiPriority w:val="9"/>
    <w:qFormat/>
    <w:rsid w:val="006A1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A1C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C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C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A1C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1C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uiPriority w:val="1"/>
    <w:qFormat/>
    <w:rsid w:val="006A1C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6A1CD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5">
    <w:name w:val="Strong"/>
    <w:basedOn w:val="a0"/>
    <w:uiPriority w:val="22"/>
    <w:qFormat/>
    <w:rsid w:val="006A1CD8"/>
    <w:rPr>
      <w:b/>
      <w:bCs/>
    </w:rPr>
  </w:style>
  <w:style w:type="paragraph" w:styleId="a6">
    <w:name w:val="No Spacing"/>
    <w:uiPriority w:val="1"/>
    <w:qFormat/>
    <w:rsid w:val="006A1CD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A1C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5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D8"/>
  </w:style>
  <w:style w:type="paragraph" w:styleId="1">
    <w:name w:val="heading 1"/>
    <w:basedOn w:val="a"/>
    <w:next w:val="a"/>
    <w:link w:val="10"/>
    <w:uiPriority w:val="9"/>
    <w:qFormat/>
    <w:rsid w:val="006A1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A1C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C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C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A1C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1C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uiPriority w:val="1"/>
    <w:qFormat/>
    <w:rsid w:val="006A1C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6A1CD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5">
    <w:name w:val="Strong"/>
    <w:basedOn w:val="a0"/>
    <w:uiPriority w:val="22"/>
    <w:qFormat/>
    <w:rsid w:val="006A1CD8"/>
    <w:rPr>
      <w:b/>
      <w:bCs/>
    </w:rPr>
  </w:style>
  <w:style w:type="paragraph" w:styleId="a6">
    <w:name w:val="No Spacing"/>
    <w:uiPriority w:val="1"/>
    <w:qFormat/>
    <w:rsid w:val="006A1CD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A1C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5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hyperlink" Target="http://publication.pravo.gov.ru/Document/View/0001202112030061" TargetMode="External"/><Relationship Id="rId12" Type="http://schemas.openxmlformats.org/officeDocument/2006/relationships/hyperlink" Target="http://publication.pravo.gov.ru/Document/View/0001202109080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kodeks/TK-RF/chast-iii/razdel-x/glava-35/statja-214/" TargetMode="External"/><Relationship Id="rId11" Type="http://schemas.openxmlformats.org/officeDocument/2006/relationships/hyperlink" Target="http://publication.pravo.gov.ru/Document/View/000120211203006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oko1.ru/articles/protection/kak-razrabotat-polozhenie-o-suot-novye-trebovaniya-i-obrazec-zapolneni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Руководитель</cp:lastModifiedBy>
  <cp:revision>3</cp:revision>
  <dcterms:created xsi:type="dcterms:W3CDTF">2024-09-26T04:58:00Z</dcterms:created>
  <dcterms:modified xsi:type="dcterms:W3CDTF">2024-09-26T05:14:00Z</dcterms:modified>
</cp:coreProperties>
</file>