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33" w:rsidRPr="00C90B63" w:rsidRDefault="00C90B63" w:rsidP="00C90B63">
      <w:pPr>
        <w:shd w:val="clear" w:color="auto" w:fill="FFFFFF"/>
        <w:spacing w:after="0" w:line="49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Вопрос № 7: «</w:t>
      </w:r>
      <w:r w:rsidR="00FF0133" w:rsidRPr="00C90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Оценка профессиональных рисков: новые правила</w:t>
      </w:r>
      <w:r w:rsidRPr="00C90B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C90B63" w:rsidRDefault="00C90B63" w:rsidP="00C90B63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B63" w:rsidRPr="00C90B63" w:rsidRDefault="00FF0133" w:rsidP="00C90B63">
      <w:pPr>
        <w:shd w:val="clear" w:color="auto" w:fill="FFFFFF"/>
        <w:spacing w:after="0" w:line="4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профессиональных рисков: что изменилось в нормативной базе</w:t>
      </w:r>
      <w:r w:rsidR="00C90B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профессиональных рисков перешла из области теории в практическое действие. Теперь при выполнении требований новых правил по охране труда, работодатель не только должен провести оценку профессиональных рисков (это даже не обсуждается), а принять конкретные действия по применению ее результатов. </w:t>
      </w: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Советуем к такой сложной задаче, как оценка </w:t>
      </w:r>
      <w:proofErr w:type="spellStart"/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профрисков</w:t>
      </w:r>
      <w:proofErr w:type="spellEnd"/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привлекать внешних экспертов или направлять членов своей внутренней комиссии на обучение. </w:t>
      </w:r>
      <w:r w:rsidR="00C90B63"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0133" w:rsidRPr="00C90B63" w:rsidRDefault="00FF0133" w:rsidP="00C90B63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Профессиональный риск</w:t>
      </w:r>
      <w:r w:rsidRPr="00C90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— это вероятность причинения вреда здоровью при воздействии на работников вредных и опасных производственных факторов.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опасности и оценки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профрисков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чиновники Минтруда разработали специальные рекомендации по классификации, обнаружению, распознаванию и описанию опасностей, а также по выбору метода оценки уровней профессиональных рисков:</w:t>
      </w:r>
    </w:p>
    <w:p w:rsidR="00FF0133" w:rsidRPr="00C90B63" w:rsidRDefault="00C90B63" w:rsidP="00C90B63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FF0133"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Приказ Минтруда от 31.01.2022 № 36</w:t>
        </w:r>
      </w:hyperlink>
      <w:r w:rsidR="00FF0133"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рекомендаций по классификации, обнаружению, распознаванию и описанию опасностей»</w:t>
      </w:r>
    </w:p>
    <w:p w:rsidR="00FF0133" w:rsidRPr="00C90B63" w:rsidRDefault="00C90B63" w:rsidP="00C90B63">
      <w:pPr>
        <w:numPr>
          <w:ilvl w:val="0"/>
          <w:numId w:val="1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FF0133"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Приказ Минтруда от 28.12.2021 № 926</w:t>
        </w:r>
      </w:hyperlink>
      <w:r w:rsidR="00FF0133"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рекомендаций по выбору методов оценки уровней профессиональных рисков и по снижению уровней таких рисков»</w:t>
      </w:r>
    </w:p>
    <w:p w:rsidR="00C90B63" w:rsidRDefault="00C90B6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133" w:rsidRPr="00C90B63" w:rsidRDefault="00FF0133" w:rsidP="00C90B63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до начала выполнения работ с повышенной опасностью необходимо учесть результаты оценки рисков. Поэтому результаты оценки рисков обязательно оформите в виде карты оценки рисков и доведите не только для работников, но и для разработчиков планов производства работ (ППР) и выдающих наряд.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из практики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Монтажнику выдают одежду согласно типовым нормам. Но в правилах по охране труда при работе на высоте указано, что работодатель в зависимости от результатов оценки рисков должен принять меры по минимизации рисков. В компании необходимо разработать карту оценки рисков и передать ее в техническую службу работодателя для принятия дополнительных мер.</w:t>
      </w:r>
    </w:p>
    <w:p w:rsidR="00C90B63" w:rsidRDefault="00C90B6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133" w:rsidRPr="00C90B63" w:rsidRDefault="00FF0133" w:rsidP="00C90B63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работников в подразделении много, сделайте сводную карту по всем рабочим местам. В карте оценки рисков нужно указать меры по снижению воздействия опасностей. В зависимости от того, какие меры перечислены в карте оценки рисков, нужно разрабатывать улучшенные нормы выдачи спецодежды, приобретение дополнительных средств индивидуальной или коллективной защиты.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в зависимости от специфики своей деятельности и исходя из оценки уровня профессионального риска вправе:</w:t>
      </w:r>
    </w:p>
    <w:p w:rsidR="00FF0133" w:rsidRPr="00C90B63" w:rsidRDefault="00FF0133" w:rsidP="00C90B63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дополнительные требования безопасности, не противоречащие Правилам. </w:t>
      </w: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охраны труда необходимо закрепить в соответствующих инструкциях по охране труда, и доводить до работников в виде распоряжений, указаний, инструктажа;</w:t>
      </w:r>
      <w:proofErr w:type="gramEnd"/>
    </w:p>
    <w:p w:rsidR="00FF0133" w:rsidRPr="00C90B63" w:rsidRDefault="00FF0133" w:rsidP="00C90B63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приборы, устройства, оборудование и (или) комплекс (систему) приборов, устройств, оборудования, обесп</w:t>
      </w:r>
      <w:r w:rsid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ечивающие дистанционную виде</w:t>
      </w:r>
      <w:proofErr w:type="gramStart"/>
      <w:r w:rsid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аудио или иную фиксацию процессов производства работ. Это необходимо для </w:t>
      </w: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безопасным производством работ.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результатам СОУТ на рабочих местах установили наличие вредных (опасных) условий, работодатель обязан провести мероприятия, чтобы улучшить условия труда работников, снизить уровень профессионального риска и воздействия вредных и (или) опасных производственных факторов. В случае</w:t>
      </w: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сделать это невозможно из-за характера или условий деятельности предприятия, то проводить работы без обеспечения работников соответствующими средствами коллективной и индивидуальной защиты запрещается.</w:t>
      </w:r>
    </w:p>
    <w:p w:rsidR="00FF0133" w:rsidRPr="00C90B63" w:rsidRDefault="00FF0133" w:rsidP="00C90B63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Обратите внимание!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работы на рабочих местах, имеющих критические риски для здоровья, возможно только после проведения мероприятий по изменению производственного процесса и условий проведения работ, обеспечивающих исключение или уменьшение воздействия вредных и (или) опасных факторов до уровня допустимого и разработки соответствующей нормативно-правовой или технической документации.</w:t>
      </w:r>
    </w:p>
    <w:p w:rsidR="001401C2" w:rsidRPr="00C90B63" w:rsidRDefault="00FF0133" w:rsidP="00C90B63">
      <w:pPr>
        <w:jc w:val="both"/>
        <w:rPr>
          <w:rFonts w:ascii="Times New Roman" w:eastAsia="Times New Roman" w:hAnsi="Times New Roman" w:cs="Times New Roman"/>
          <w:b/>
          <w:bCs/>
          <w:color w:val="1990FE"/>
          <w:sz w:val="28"/>
          <w:szCs w:val="28"/>
          <w:u w:val="single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связанные с риском для жизни и здоровья работников, можно поручать только наиболее квалифицированным, опытным работникам, прошедшим специальную профессиональную подготовку. В статье 196 ТК РФ указано, что работодатель сам определяет, кому из сотрудников нужно повышать квалификацию. Поэтому сам работодатель принимает решение в пользу подготовки работников на наиболее опасные рабочие места. </w:t>
      </w:r>
      <w:r w:rsidR="00C90B63" w:rsidRPr="00C90B63">
        <w:rPr>
          <w:rFonts w:ascii="Times New Roman" w:eastAsia="Times New Roman" w:hAnsi="Times New Roman" w:cs="Times New Roman"/>
          <w:b/>
          <w:bCs/>
          <w:color w:val="1990FE"/>
          <w:sz w:val="28"/>
          <w:szCs w:val="28"/>
          <w:u w:val="single"/>
          <w:lang w:eastAsia="ru-RU"/>
        </w:rPr>
        <w:t xml:space="preserve"> </w:t>
      </w:r>
    </w:p>
    <w:p w:rsidR="00FF0133" w:rsidRPr="00C90B63" w:rsidRDefault="00FF0133" w:rsidP="00C90B63">
      <w:pPr>
        <w:jc w:val="both"/>
        <w:rPr>
          <w:rFonts w:ascii="Times New Roman" w:eastAsia="Times New Roman" w:hAnsi="Times New Roman" w:cs="Times New Roman"/>
          <w:b/>
          <w:bCs/>
          <w:color w:val="1990FE"/>
          <w:sz w:val="28"/>
          <w:szCs w:val="28"/>
          <w:u w:val="single"/>
          <w:lang w:eastAsia="ru-RU"/>
        </w:rPr>
      </w:pPr>
    </w:p>
    <w:p w:rsidR="00FF0133" w:rsidRPr="00C90B63" w:rsidRDefault="00FF0133" w:rsidP="00C90B63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уровней профессиональных рисков силами работодателя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проведению оценки профессиональных рисков установлены статьей 212 ТК РФ. Работников и кандидатов необходимо ознакомить с рисками по их должности. Если риски являются неприемлемыми с точки зрения соискателей, они вправе найти другое, более безопасное место работы.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обязан провести оценку рисков на предприятии:</w:t>
      </w:r>
    </w:p>
    <w:p w:rsidR="00FF0133" w:rsidRPr="00C90B63" w:rsidRDefault="00FF0133" w:rsidP="00C90B63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реестр опасностей</w:t>
      </w:r>
    </w:p>
    <w:p w:rsidR="00FF0133" w:rsidRPr="00C90B63" w:rsidRDefault="00FF0133" w:rsidP="00C90B63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вероятность наступления неблагоприятного исхода и ущерба здоровью</w:t>
      </w:r>
    </w:p>
    <w:p w:rsidR="00FF0133" w:rsidRPr="00C90B63" w:rsidRDefault="00FF0133" w:rsidP="00C90B63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мероприятий по снижению или исключению рисков.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специалисты по охране труда могут спросить, зачем же проводить оценку рисков, если уже </w:t>
      </w: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</w:t>
      </w:r>
      <w:proofErr w:type="gram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спецоценка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очень просто. Во время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спецоценки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идентифицируют факторы, но не проводят оценку вероятности того, что фактор может привести к травме, острому или хроническому заболеванию, или к гибели. Если при приеме на работу человек узнает, что его рабочее место имеет высокую степень риска, у него есть выбор — принять этот риск, или искать другое место работы.</w:t>
      </w:r>
    </w:p>
    <w:p w:rsidR="00FF013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Одна из важнейших задач работодателя на этапе перехода к новой законодательной базе по охране труда — просмотреть и применить результаты уже проведенной оценки рисков.</w:t>
      </w:r>
    </w:p>
    <w:p w:rsidR="00C90B63" w:rsidRPr="00C90B63" w:rsidRDefault="00C90B6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133" w:rsidRPr="00C90B63" w:rsidRDefault="00FF0133" w:rsidP="00C90B63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оценки профессиональных рисков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профессиональных рисков применяют любую методику, указанную в ГОСТ, в международных стандартах, а также авторские методики российских и зарубежных специалистов по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техносферным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рискам. Работодатель вправе </w:t>
      </w: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использовать любой метод по своему усмотрению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зависимости от особенностей своей экономической деятельности и сложности производственных процессов, может разработать методику самостоятельно, если у него есть такая возможность.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 методик, которые может применять компания для оценки </w:t>
      </w:r>
      <w:proofErr w:type="spellStart"/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профрисков</w:t>
      </w:r>
      <w:proofErr w:type="spellEnd"/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MS Gothic" w:eastAsia="MS Gothic" w:hAnsi="MS Gothic" w:cs="MS Gothic" w:hint="eastAsia"/>
          <w:color w:val="FF0000"/>
          <w:sz w:val="28"/>
          <w:szCs w:val="28"/>
          <w:lang w:eastAsia="ru-RU"/>
        </w:rPr>
        <w:t>➤</w:t>
      </w:r>
      <w:r w:rsidRPr="00C90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Национальный стандарт РФ </w:t>
      </w:r>
      <w:hyperlink r:id="rId8" w:history="1">
        <w:r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Р</w:t>
        </w:r>
        <w:proofErr w:type="gramEnd"/>
        <w:r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 xml:space="preserve"> ИСО/МЭК 31010–2011</w:t>
        </w:r>
      </w:hyperlink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 он действовал до 1 марта 2020 года и описывал 31 метод для идентификации и оценки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профрисков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Отмена этого документа не является основанием для того, чтобы не применять действующие методики, указанные в нем, а также не является основанием почерпнуть из этого документа полезные рекомендации.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эксперта: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ГОСТ является документом для добровольного применения. Указывать отмененный ГОСТ в разделе «Порядок оценки рисков» Положения о СУОТ будет некорректным, поэтому просмотрите методики в нем, которые актуальны для вашей организации и являются действующими.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MS Gothic" w:eastAsia="MS Gothic" w:hAnsi="MS Gothic" w:cs="MS Gothic" w:hint="eastAsia"/>
          <w:b/>
          <w:bCs/>
          <w:color w:val="FF0000"/>
          <w:sz w:val="28"/>
          <w:szCs w:val="28"/>
          <w:lang w:eastAsia="ru-RU"/>
        </w:rPr>
        <w:t>➤</w:t>
      </w:r>
      <w:r w:rsidRPr="00C90B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hyperlink r:id="rId9" w:history="1">
        <w:r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Р</w:t>
        </w:r>
        <w:proofErr w:type="gramEnd"/>
        <w:r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 xml:space="preserve"> 12.0.010-2009</w:t>
        </w:r>
      </w:hyperlink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«Система стандартов безопасности труда (ССБТ). Системы управления охраной труда. Определение опасностей и оценка рисков».</w:t>
      </w:r>
    </w:p>
    <w:p w:rsid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госстандарт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порядок оценки рисков вне зависимости от выбранной методики. Методик проведения оценки рисков много, но принцип оценки один и тот же: на входе — объективная информация о фактических условиях труда, а на выходе — план экстренных действий по исключению рисков (отказа от опасных работ) или по минимизации (компенсирующие меры). Этот ГОСТ также является добровольным документов, пока его не закрепят в локальном нормативном акте. </w:t>
      </w:r>
    </w:p>
    <w:p w:rsidR="00FF0133" w:rsidRPr="00C90B63" w:rsidRDefault="00C90B6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FF0133"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эксперта:</w:t>
      </w:r>
      <w:r w:rsidR="00FF0133"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рекомендуем передать разработку раздела о проведении оценки рисков в организацию, которая будет проводить у вас оценку рисков. Если будете проводить оценку рисков сами, руководствуйтесь этим ГОСТ и выбирайте методику, которая решит ваши задачи.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Главные условия, которые обязан соблюдать работодатель при оценке уровней профессиональных рисков:</w:t>
      </w:r>
    </w:p>
    <w:p w:rsidR="00FF0133" w:rsidRPr="00C90B63" w:rsidRDefault="00FF0133" w:rsidP="00C90B63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текущую, прошлую и будущую деятельности компании;</w:t>
      </w:r>
    </w:p>
    <w:p w:rsidR="00FF0133" w:rsidRPr="00C90B63" w:rsidRDefault="00FF0133" w:rsidP="00C90B63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учитывать, что тяжесть возможного ущерба растет пропорционально увеличению числа людей, подвергающихся опасности;</w:t>
      </w:r>
    </w:p>
    <w:p w:rsidR="00FF0133" w:rsidRPr="00C90B63" w:rsidRDefault="00FF0133" w:rsidP="00C90B63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оценку рисков при активном участии работников, занятых на этих рабочих местах, так как они владеют детализированной и точной информацией обо всех опасностях, связанных с выполнением ими своей работы;</w:t>
      </w:r>
    </w:p>
    <w:p w:rsidR="00FF0133" w:rsidRPr="00C90B63" w:rsidRDefault="00FF0133" w:rsidP="00C90B63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не только штатные условия деятельности, но и случаи отклонений в работе, в том числе связанных с возможными авариями.</w:t>
      </w:r>
    </w:p>
    <w:p w:rsidR="00FF0133" w:rsidRPr="00C90B63" w:rsidRDefault="00FF0133" w:rsidP="00C90B63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оценить уровни профессиональных рисков на предприятии: пошаговый алгоритм</w:t>
      </w:r>
    </w:p>
    <w:p w:rsidR="00FF0133" w:rsidRPr="00C90B63" w:rsidRDefault="00FF0133" w:rsidP="00C90B63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 этап. Идентификация рисков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информации для выявления опасностей служат:</w:t>
      </w:r>
    </w:p>
    <w:p w:rsidR="00FF0133" w:rsidRPr="00C90B63" w:rsidRDefault="00FF0133" w:rsidP="00C90B63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и технические акты, справочная и научно-техническая литература, локальные нормативные акты и др.;</w:t>
      </w:r>
    </w:p>
    <w:p w:rsidR="00FF0133" w:rsidRPr="00C90B63" w:rsidRDefault="00FF0133" w:rsidP="00C90B63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производственного </w:t>
      </w: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FF0133" w:rsidRPr="00C90B63" w:rsidRDefault="00FF0133" w:rsidP="00C90B63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специальной оценки условий труда на рабочих местах;</w:t>
      </w:r>
    </w:p>
    <w:p w:rsidR="00FF0133" w:rsidRPr="00C90B63" w:rsidRDefault="00FF0133" w:rsidP="00C90B63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наблюдения за технологическим процессом, производственной средой, рабочим местом, работой подрядных организаций, внешними факторами производственной среды;</w:t>
      </w:r>
    </w:p>
    <w:p w:rsidR="00FF0133" w:rsidRPr="00C90B63" w:rsidRDefault="00FF0133" w:rsidP="00C90B63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анализа анкет, полученных от работников.</w:t>
      </w:r>
    </w:p>
    <w:p w:rsidR="00FF0133" w:rsidRPr="00C90B63" w:rsidRDefault="00FF0133" w:rsidP="00C90B63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аудита (опроса) сотрудников;</w:t>
      </w:r>
    </w:p>
    <w:p w:rsidR="00FF0133" w:rsidRPr="00C90B63" w:rsidRDefault="00FF0133" w:rsidP="00C90B63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 практической деятельности.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анкет, источниками информации для идентификации рисков могут быть данные статистической информации по травматизму и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профзаболеваемости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данные производственного контроля, анализ должностных инструкций и стандартных операционных процедур (проекты производства работ, технологические карты и технические регламенты).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Рекомендация эксперта: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работники организации заполняют анкеты, в которых отмечают частоту и вероятность того, что опасность возникает редко, часто, или постоянно. На основе анализа источников информации нужно сформировать реестр идентифицированных опасностей, подлежащий регулярной и своевременной актуализации. </w:t>
      </w:r>
      <w:r w:rsidR="00C90B63"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0133" w:rsidRPr="00C90B63" w:rsidRDefault="00FF0133" w:rsidP="00C90B63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 этап. Определение вероятности и частоты наступления ущерба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втором этапе Реестр </w:t>
      </w: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обрабатывают</w:t>
      </w:r>
      <w:proofErr w:type="gram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выяснить, какой ущерб может быть причинен, если опасность произойдет. Для этого экспертная группа, состоящая из членов комиссии по проведению рисков, может самостоятельно или с привлечением внешнего эксперта установить напротив каждой опасности степень тяжести полученного повреждения здоровью.</w:t>
      </w:r>
    </w:p>
    <w:p w:rsidR="00FF0133" w:rsidRPr="00C90B63" w:rsidRDefault="00FF0133" w:rsidP="00C90B63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 такой комиссии обязательно включите специалиста по охране труда, а также ведущих технических специалистов — экспертов, представителя профсоюза или другого органа работников.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правильной оценки профессиональных рисков нужно установить качественные значения вероятностей наступления ущербов: </w:t>
      </w: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</w:t>
      </w:r>
      <w:proofErr w:type="gram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средняя и высокая. При этом вероятность исхода, не связанного с наступлением ущерба, оценивают как среднюю.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Низкая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 должностных инструкциях отсутствует необходимость проведения операций, манипуляций, при которых характерна конкретная опасность. Поэтому опасность не должна возникнуть вообще. Например, в реестре опасностей указана опасность укуса животного. При этом на рабочем месте и в рабочем пространстве (в том числе территории) данными с пульта видеонаблюдения не зафиксировано ни одного случая появления животного.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Средняя 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наступление риска возможно при грубом нарушении работником требований охраны труда, стандартных операционных процедур, технологических карт и регламентов, или выполнение трудовых обязанностей, не включенных в должностную инструкцию, по которым работник не обучен, не имеет необходимую квалификацию и допуск.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Высокая 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наступление риска возникновения опасности характерно для указанной должности и обусловлено технологией выполнения работ. Например, во время СОУТ установили, что на работника воздействует такой фактор, как шум, и определили на рабочем месте вредные условия труда подкласса 3.1. А в ходе оценки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профрисков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установили, какова вероятность того, что работник потеряет слух.</w:t>
      </w:r>
    </w:p>
    <w:p w:rsidR="00FF0133" w:rsidRPr="00C90B63" w:rsidRDefault="00FF0133" w:rsidP="00C90B63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этап. Оценка расчет рисков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этапе оценки </w:t>
      </w: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</w:t>
      </w:r>
      <w:proofErr w:type="gram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данные по вероятности наступления угрозы и тяжести ее последствий рассчитывают для того, чтобы установить уровень риска по каждой опасности, а также интегрированный риск. Затем производят ранжирование — от опасности с высоким риском к низкому риску.</w:t>
      </w:r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определения степени риска необходимо провести расчет. Для этого последовательно выполняют следующие операции:</w:t>
      </w:r>
    </w:p>
    <w:p w:rsidR="00FF0133" w:rsidRPr="00C90B63" w:rsidRDefault="00FF0133" w:rsidP="00C90B63">
      <w:pPr>
        <w:numPr>
          <w:ilvl w:val="0"/>
          <w:numId w:val="6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Идентифицируют опасности и при необходимости их проявления.</w:t>
      </w:r>
    </w:p>
    <w:p w:rsidR="00FF0133" w:rsidRPr="00C90B63" w:rsidRDefault="00FF0133" w:rsidP="00C90B63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идентифицированной опасности ставят в соответствие возможный ущерб и соответствующий ему весовой коэффициент.</w:t>
      </w:r>
    </w:p>
    <w:p w:rsidR="00FF0133" w:rsidRPr="00C90B63" w:rsidRDefault="00FF0133" w:rsidP="00C90B63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качественные значения вероятностей наступления ущербов и исхода, не связанного с наступлением ущерба, и соответствующие им весовые коэффициенты путем логического анализа дерева событий или с использованием вербального описания вероятностей (частот).</w:t>
      </w:r>
    </w:p>
    <w:p w:rsidR="00FF0133" w:rsidRPr="00C90B63" w:rsidRDefault="00FF0133" w:rsidP="00C90B63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перемножения численных значений вероятностей (частот) наступления ущербов на соответствующие весовые коэффициенты ущербов определяют риски по каждой из идентифицированных опасностей.</w:t>
      </w:r>
    </w:p>
    <w:p w:rsidR="00FF0133" w:rsidRPr="00C90B63" w:rsidRDefault="00FF0133" w:rsidP="00C90B63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шкале оценки значимости рисков оценивают значимости рисков по каждой из идентифицированных опасностей.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Путем сложения рисков для каждой идентифицированной опасности на рабочем месте определяют общий риск.</w:t>
      </w:r>
    </w:p>
    <w:p w:rsidR="00FF0133" w:rsidRPr="00C90B63" w:rsidRDefault="00FF0133" w:rsidP="00C90B63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 этап. Разработка плана мероприятий по снижению уровня риска и контроля его исполнения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заканчивается процесс непосредственно оценки, и наступает завершающий этап — этап принятия решения о снижении риска или отказа от него (исключение из технологической цепочки) и замену на приемлемый уровень риска. Это этап разработки плана мероприятий по снижению рисков. По завершению работ по оценке профессиональных рисков, разрабатывают, утверждают и доводят до работников следующие локальные нормативные акты:</w:t>
      </w:r>
    </w:p>
    <w:p w:rsidR="00FF0133" w:rsidRPr="00C90B63" w:rsidRDefault="00FF0133" w:rsidP="00C90B63">
      <w:pPr>
        <w:numPr>
          <w:ilvl w:val="0"/>
          <w:numId w:val="7"/>
        </w:numPr>
        <w:shd w:val="clear" w:color="auto" w:fill="FFFFFF"/>
        <w:spacing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опасностей;</w:t>
      </w:r>
    </w:p>
    <w:p w:rsidR="00FF0133" w:rsidRPr="00C90B63" w:rsidRDefault="00FF0133" w:rsidP="00C90B63">
      <w:pPr>
        <w:numPr>
          <w:ilvl w:val="0"/>
          <w:numId w:val="7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проведении оценки уровней рисков, с указанием установленных уровней по каждому риску.</w:t>
      </w:r>
    </w:p>
    <w:p w:rsidR="00FF0133" w:rsidRPr="00C90B63" w:rsidRDefault="00FF0133" w:rsidP="00C90B63">
      <w:pPr>
        <w:numPr>
          <w:ilvl w:val="0"/>
          <w:numId w:val="7"/>
        </w:numPr>
        <w:shd w:val="clear" w:color="auto" w:fill="FFFFFF"/>
        <w:spacing w:before="225" w:after="0" w:line="40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мероприятий по снижению уровней профессиональных рисков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выявленные (идентифицированные) опасности должны быть учтены при проведении инструктажей на рабочем месте и стажировке. Все средства индивидуальной защиты нужно выдавать, а средства коллективной защиты устанавливать с учетом выявленных опасностей.</w:t>
      </w:r>
    </w:p>
    <w:p w:rsidR="00FF0133" w:rsidRPr="00C90B63" w:rsidRDefault="00FF0133" w:rsidP="00C90B63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 этап. Управление оцененными рисками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оценка рисков не является самоцелью, основным этапом является именно управление оцененными рисками. Принятие мер по снижению уровней профессиональных рисков или их исключению — вот такая задача стоит перед работодателем.</w:t>
      </w:r>
    </w:p>
    <w:p w:rsidR="00FF0133" w:rsidRPr="00C90B63" w:rsidRDefault="00FF0133" w:rsidP="00C90B63">
      <w:pPr>
        <w:shd w:val="clear" w:color="auto" w:fill="FFFFFF"/>
        <w:spacing w:after="36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в силу приказа о применении результатов оценки профессиональных рисков, комиссия проводит работу по информированию работников о риске повреждения здоровья. Для этого нужно внести изменения в программу инструктажа на рабочем месте, программу вводного инструктажа, а также разместить материалы оценки профессиональных рисков в разделе «Охрана труда» — «Оценка профессиональных рисков на рабочих местах» на официальном сайте.</w:t>
      </w:r>
    </w:p>
    <w:p w:rsidR="00FF0133" w:rsidRPr="00C90B63" w:rsidRDefault="00FF0133" w:rsidP="00C90B63">
      <w:pPr>
        <w:shd w:val="clear" w:color="auto" w:fill="FFFFFF"/>
        <w:spacing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Обратите внимание! 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разработанных мер по управлению профессиональными рисками необходимо постоянно оценивать. Для этого нужно проводить оценку эффективности мероприятий по снижению рисков с установленной периодичностью, например, </w:t>
      </w: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реже 1 раза в год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три года, в пять лет) с составлением соответствующего отчета, согласованного представительным органом работников.</w:t>
      </w:r>
    </w:p>
    <w:p w:rsidR="00FF0133" w:rsidRPr="00C90B63" w:rsidRDefault="00FF0133" w:rsidP="00C90B63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Какое наказание грозит, если не провести оценку </w:t>
      </w:r>
      <w:proofErr w:type="spellStart"/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профрисков</w:t>
      </w:r>
      <w:proofErr w:type="spellEnd"/>
    </w:p>
    <w:p w:rsidR="00FF0133" w:rsidRPr="00C90B63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необходима для всех работодателей — если в компании работает хотя бы один сотрудник по трудовому договору (в том числе — внешний совместитель). Поэтому </w:t>
      </w:r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отсутствие в штате специалиста по охране труда не является основанием для </w:t>
      </w:r>
      <w:proofErr w:type="spellStart"/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непроведения</w:t>
      </w:r>
      <w:proofErr w:type="spellEnd"/>
      <w:r w:rsidRPr="00C90B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оценки рисков</w:t>
      </w: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соответственно, и правил по охране труда. Статус оценки рисков существенно повысился после того, как процедуру указали в правилах по охране труда, являющихся нормативным правовым актом, прошедшим регистрацию в Минюсте России. Часть 1 статьи 5.27.1 КоАП трактует непроведение и неприменение результатов оценки рисков как нарушение государственных нормативных требований охраны труда, содержащихся в иных НПА Российской Федерации. </w:t>
      </w: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 для компании составит до 80000 рублей, а для ИП или должностного лица организации — до 5000 рублей.</w:t>
      </w:r>
    </w:p>
    <w:p w:rsidR="00FF0133" w:rsidRPr="00C90B63" w:rsidRDefault="00FF0133" w:rsidP="00C90B63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оценки профессиональных рисков у специалистов</w:t>
      </w:r>
    </w:p>
    <w:p w:rsidR="00755412" w:rsidRDefault="00FF0133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рисков компания может провести самостоятельно, а может </w:t>
      </w:r>
      <w:hyperlink r:id="rId10" w:history="1">
        <w:r w:rsidRPr="00C90B63">
          <w:rPr>
            <w:rFonts w:ascii="Times New Roman" w:eastAsia="Times New Roman" w:hAnsi="Times New Roman" w:cs="Times New Roman"/>
            <w:b/>
            <w:bCs/>
            <w:color w:val="1990FE"/>
            <w:sz w:val="28"/>
            <w:szCs w:val="28"/>
            <w:u w:val="single"/>
            <w:lang w:eastAsia="ru-RU"/>
          </w:rPr>
          <w:t>передать эту задачу специализированной организации</w:t>
        </w:r>
      </w:hyperlink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Не каждый даже самый опытный специалист по охране труда способен лично провести оценку рисков. Да, он может организовать работу, но для проведения оценки нужна командная работа. Особенно это касается производственных предприятий и крупного бизнеса. Советуем к такой сложной задаче, как оценка </w:t>
      </w:r>
      <w:proofErr w:type="spellStart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профрисков</w:t>
      </w:r>
      <w:proofErr w:type="spellEnd"/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привлекать внешних экспертов или направлять членов своей внутренней комиссии на обучение. </w:t>
      </w:r>
    </w:p>
    <w:p w:rsidR="00FF0133" w:rsidRPr="00C90B63" w:rsidRDefault="00755412" w:rsidP="00C90B6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33"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у сторонней организации по проведению оценки рисков есть очевидное преимущество — свежий, независимый взгляд на проблемы предприятия. Профессионалы из специализированной организации по охране труда «заточены» на оценку, владеют различными методиками, постоянно повышают квалификацию, участвуют в круглых столах, в </w:t>
      </w:r>
      <w:r w:rsidR="00FF0133" w:rsidRPr="00C9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конференциях. Чтобы избежать претензий инспектора ГИТ, доверьте проведение рисков опытным профессионалам. </w:t>
      </w:r>
      <w:bookmarkStart w:id="0" w:name="_GoBack"/>
      <w:bookmarkEnd w:id="0"/>
    </w:p>
    <w:p w:rsidR="00FF0133" w:rsidRPr="00C90B63" w:rsidRDefault="00FF0133" w:rsidP="00C90B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0133" w:rsidRPr="00C9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C23"/>
    <w:multiLevelType w:val="multilevel"/>
    <w:tmpl w:val="C40E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B3D53"/>
    <w:multiLevelType w:val="multilevel"/>
    <w:tmpl w:val="972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16B43"/>
    <w:multiLevelType w:val="multilevel"/>
    <w:tmpl w:val="8C92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02802"/>
    <w:multiLevelType w:val="multilevel"/>
    <w:tmpl w:val="1ED2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8498D"/>
    <w:multiLevelType w:val="multilevel"/>
    <w:tmpl w:val="C2EE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601F7"/>
    <w:multiLevelType w:val="multilevel"/>
    <w:tmpl w:val="0E26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9400B"/>
    <w:multiLevelType w:val="multilevel"/>
    <w:tmpl w:val="72BC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15"/>
    <w:rsid w:val="001401C2"/>
    <w:rsid w:val="006A1CD8"/>
    <w:rsid w:val="00755412"/>
    <w:rsid w:val="00C90B63"/>
    <w:rsid w:val="00F90515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33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33"/>
  </w:style>
  <w:style w:type="paragraph" w:styleId="1">
    <w:name w:val="heading 1"/>
    <w:basedOn w:val="a"/>
    <w:next w:val="a"/>
    <w:link w:val="10"/>
    <w:uiPriority w:val="9"/>
    <w:qFormat/>
    <w:rsid w:val="006A1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A1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A1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6A1C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A1CD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6A1CD8"/>
    <w:rPr>
      <w:b/>
      <w:bCs/>
    </w:rPr>
  </w:style>
  <w:style w:type="paragraph" w:styleId="a6">
    <w:name w:val="No Spacing"/>
    <w:uiPriority w:val="1"/>
    <w:qFormat/>
    <w:rsid w:val="006A1CD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A1C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900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intrud.gov.ru/docs/mintrud/orders/22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18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ko1.ru/upravlenie-risk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080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3</cp:revision>
  <dcterms:created xsi:type="dcterms:W3CDTF">2024-09-26T01:52:00Z</dcterms:created>
  <dcterms:modified xsi:type="dcterms:W3CDTF">2024-09-26T06:03:00Z</dcterms:modified>
</cp:coreProperties>
</file>